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w:t>
      </w:r>
      <w:r>
        <w:rPr>
          <w:rStyle w:val="7"/>
          <w:rFonts w:hint="eastAsia" w:ascii="黑体" w:hAnsi="黑体" w:eastAsia="黑体" w:cs="宋体"/>
          <w:kern w:val="0"/>
          <w:sz w:val="28"/>
          <w:szCs w:val="28"/>
          <w:lang w:eastAsia="zh-CN"/>
        </w:rPr>
        <w:t>机构</w:t>
      </w:r>
      <w:r>
        <w:rPr>
          <w:rStyle w:val="7"/>
          <w:rFonts w:hint="eastAsia" w:ascii="黑体" w:hAnsi="黑体" w:eastAsia="黑体" w:cs="宋体"/>
          <w:kern w:val="0"/>
          <w:sz w:val="28"/>
          <w:szCs w:val="28"/>
        </w:rPr>
        <w:t>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ascii="仿宋" w:hAnsi="仿宋" w:eastAsia="仿宋" w:cs="方正仿宋_GBK"/>
          <w:b/>
          <w:bCs/>
          <w:color w:val="000000"/>
          <w:kern w:val="0"/>
          <w:sz w:val="24"/>
          <w:szCs w:val="24"/>
        </w:rPr>
      </w:pPr>
      <w:r>
        <w:rPr>
          <w:rFonts w:hint="eastAsia" w:ascii="仿宋" w:hAnsi="仿宋" w:eastAsia="仿宋" w:cs="方正仿宋_GBK"/>
          <w:b/>
          <w:bCs/>
          <w:color w:val="000000"/>
          <w:kern w:val="0"/>
          <w:sz w:val="24"/>
          <w:szCs w:val="24"/>
        </w:rPr>
        <w:t>本产品为封闭式净值型理财产品，期限</w:t>
      </w:r>
      <w:r>
        <w:rPr>
          <w:rFonts w:hint="eastAsia" w:ascii="仿宋" w:hAnsi="仿宋" w:eastAsia="仿宋" w:cs="方正仿宋_GBK"/>
          <w:b/>
          <w:bCs/>
          <w:color w:val="000000"/>
          <w:kern w:val="0"/>
          <w:sz w:val="24"/>
          <w:szCs w:val="24"/>
          <w:highlight w:val="none"/>
        </w:rPr>
        <w:t>：</w:t>
      </w:r>
      <w:r>
        <w:rPr>
          <w:rFonts w:hint="eastAsia" w:ascii="仿宋" w:hAnsi="仿宋" w:eastAsia="仿宋" w:cs="方正仿宋_GBK"/>
          <w:b/>
          <w:bCs/>
          <w:color w:val="000000"/>
          <w:kern w:val="0"/>
          <w:sz w:val="24"/>
          <w:szCs w:val="24"/>
          <w:highlight w:val="none"/>
          <w:lang w:val="en-US" w:eastAsia="zh-CN"/>
        </w:rPr>
        <w:t>110</w:t>
      </w:r>
      <w:bookmarkStart w:id="0" w:name="_GoBack"/>
      <w:bookmarkEnd w:id="0"/>
      <w:r>
        <w:rPr>
          <w:rFonts w:hint="eastAsia" w:ascii="仿宋" w:hAnsi="仿宋" w:eastAsia="仿宋" w:cs="方正仿宋_GBK"/>
          <w:b/>
          <w:bCs/>
          <w:color w:val="000000"/>
          <w:kern w:val="0"/>
          <w:sz w:val="24"/>
          <w:szCs w:val="24"/>
        </w:rPr>
        <w:t>天，</w:t>
      </w:r>
      <w:r>
        <w:rPr>
          <w:rFonts w:hint="eastAsia" w:ascii="仿宋" w:hAnsi="仿宋" w:eastAsia="仿宋"/>
          <w:b/>
          <w:bCs/>
          <w:sz w:val="24"/>
          <w:szCs w:val="24"/>
        </w:rPr>
        <w:t>本理财产品不保证本金和收益，本</w:t>
      </w:r>
      <w:r>
        <w:rPr>
          <w:rFonts w:hint="eastAsia" w:ascii="仿宋" w:hAnsi="仿宋" w:eastAsia="仿宋" w:cs="方正仿宋_GBK"/>
          <w:b/>
          <w:bCs/>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hint="eastAsia"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若在资产组合项下资产全部亏损的最不利情况下，理财计划本金将全部损失。</w:t>
      </w:r>
    </w:p>
    <w:p>
      <w:pPr>
        <w:widowControl/>
        <w:wordWrap w:val="0"/>
        <w:spacing w:before="75" w:after="75" w:line="400" w:lineRule="exact"/>
        <w:ind w:firstLine="480" w:firstLineChars="200"/>
        <w:jc w:val="left"/>
        <w:rPr>
          <w:rFonts w:ascii="华文仿宋" w:hAnsi="华文仿宋" w:eastAsia="华文仿宋"/>
          <w:b/>
          <w:sz w:val="24"/>
          <w:szCs w:val="24"/>
        </w:rPr>
      </w:pPr>
    </w:p>
    <w:p>
      <w:pPr>
        <w:spacing w:line="400" w:lineRule="exact"/>
        <w:ind w:firstLine="4565" w:firstLineChars="1900"/>
        <w:rPr>
          <w:rFonts w:ascii="华文仿宋" w:hAnsi="华文仿宋" w:eastAsia="华文仿宋"/>
          <w:b/>
          <w:sz w:val="24"/>
          <w:szCs w:val="24"/>
        </w:rPr>
      </w:pPr>
      <w:r>
        <w:rPr>
          <w:rFonts w:hint="eastAsia" w:ascii="华文仿宋" w:hAnsi="华文仿宋" w:eastAsia="华文仿宋"/>
          <w:b/>
          <w:sz w:val="24"/>
          <w:szCs w:val="24"/>
        </w:rPr>
        <w:t>风险揭示方：新疆银行股份有限公司</w:t>
      </w:r>
    </w:p>
    <w:p>
      <w:pPr>
        <w:spacing w:line="360" w:lineRule="exact"/>
        <w:jc w:val="center"/>
        <w:rPr>
          <w:rFonts w:ascii="华文仿宋" w:hAnsi="华文仿宋" w:eastAsia="华文仿宋" w:cs="Arial"/>
          <w:b/>
          <w:szCs w:val="21"/>
        </w:rPr>
      </w:pPr>
    </w:p>
    <w:p>
      <w:pPr>
        <w:widowControl/>
        <w:wordWrap w:val="0"/>
        <w:spacing w:before="75" w:after="75" w:line="400" w:lineRule="exact"/>
        <w:ind w:firstLine="480" w:firstLineChars="200"/>
        <w:jc w:val="left"/>
        <w:rPr>
          <w:rFonts w:hint="eastAsia" w:ascii="华文仿宋" w:hAnsi="华文仿宋" w:eastAsia="华文仿宋"/>
          <w:b/>
          <w:sz w:val="24"/>
          <w:szCs w:val="24"/>
        </w:rPr>
      </w:pPr>
    </w:p>
    <w:p>
      <w:pPr>
        <w:spacing w:line="400" w:lineRule="exact"/>
        <w:ind w:firstLine="480"/>
        <w:jc w:val="center"/>
        <w:rPr>
          <w:rFonts w:ascii="华文仿宋" w:hAnsi="华文仿宋" w:eastAsia="华文仿宋"/>
          <w:b/>
          <w:sz w:val="24"/>
          <w:szCs w:val="24"/>
        </w:rPr>
      </w:pPr>
      <w:r>
        <w:rPr>
          <w:rFonts w:hint="eastAsia" w:ascii="华文仿宋" w:hAnsi="华文仿宋" w:eastAsia="华文仿宋"/>
          <w:b/>
          <w:sz w:val="24"/>
          <w:szCs w:val="24"/>
        </w:rPr>
        <w:t>客户确认栏</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本机构已仔细阅读理财产品销售文件，己完全理解理财产品投资的性质和面临的风险，本机构确认新疆银行相关业务人员对于理财产品销售文件中限制本机构权利、增加本机构义务以及有关免除、限制新疆银行责任或新疆银行单方面拥有某些权利的条款已向本机构予以说明，本机构完全理解并自愿接受。</w:t>
      </w:r>
    </w:p>
    <w:p>
      <w:pPr>
        <w:spacing w:line="360" w:lineRule="exact"/>
        <w:ind w:firstLine="480" w:firstLineChars="200"/>
        <w:rPr>
          <w:rFonts w:ascii="华文仿宋" w:hAnsi="华文仿宋" w:eastAsia="华文仿宋"/>
          <w:b/>
          <w:sz w:val="24"/>
          <w:szCs w:val="24"/>
        </w:rPr>
      </w:pPr>
    </w:p>
    <w:p>
      <w:pPr>
        <w:spacing w:line="360" w:lineRule="exact"/>
        <w:ind w:firstLine="480" w:firstLineChars="200"/>
        <w:jc w:val="right"/>
        <w:rPr>
          <w:rFonts w:ascii="华文仿宋" w:hAnsi="华文仿宋" w:eastAsia="华文仿宋"/>
          <w:b/>
          <w:sz w:val="24"/>
          <w:szCs w:val="24"/>
        </w:rPr>
      </w:pPr>
    </w:p>
    <w:p>
      <w:pPr>
        <w:spacing w:line="360" w:lineRule="exact"/>
        <w:ind w:firstLine="480" w:firstLineChars="200"/>
        <w:jc w:val="center"/>
        <w:rPr>
          <w:rFonts w:ascii="华文仿宋" w:hAnsi="华文仿宋" w:eastAsia="华文仿宋"/>
          <w:b/>
          <w:sz w:val="24"/>
          <w:szCs w:val="24"/>
        </w:rPr>
      </w:pPr>
      <w:r>
        <w:rPr>
          <w:rFonts w:hint="eastAsia" w:ascii="华文仿宋" w:hAnsi="华文仿宋" w:eastAsia="华文仿宋"/>
          <w:b/>
          <w:sz w:val="24"/>
          <w:szCs w:val="24"/>
        </w:rPr>
        <w:t xml:space="preserve">                    </w:t>
      </w:r>
      <w:r>
        <w:rPr>
          <w:rFonts w:hint="eastAsia" w:ascii="华文仿宋" w:hAnsi="华文仿宋" w:eastAsia="华文仿宋"/>
          <w:b/>
          <w:sz w:val="24"/>
          <w:szCs w:val="24"/>
          <w:lang w:val="en-US" w:eastAsia="zh-CN"/>
        </w:rPr>
        <w:t xml:space="preserve">   </w:t>
      </w:r>
      <w:r>
        <w:rPr>
          <w:rFonts w:hint="eastAsia" w:ascii="华文仿宋" w:hAnsi="华文仿宋" w:eastAsia="华文仿宋"/>
          <w:b/>
          <w:sz w:val="24"/>
          <w:szCs w:val="24"/>
        </w:rPr>
        <w:t xml:space="preserve">  风险确认方（公章）：</w:t>
      </w:r>
    </w:p>
    <w:p>
      <w:pPr>
        <w:spacing w:line="360" w:lineRule="exact"/>
        <w:ind w:firstLine="480" w:firstLineChars="200"/>
        <w:rPr>
          <w:rFonts w:ascii="华文仿宋" w:hAnsi="华文仿宋" w:eastAsia="华文仿宋"/>
          <w:b/>
          <w:sz w:val="24"/>
          <w:szCs w:val="24"/>
        </w:rPr>
      </w:pPr>
    </w:p>
    <w:p>
      <w:pPr>
        <w:spacing w:line="360" w:lineRule="exact"/>
        <w:ind w:firstLine="480" w:firstLineChars="200"/>
        <w:jc w:val="center"/>
        <w:rPr>
          <w:rFonts w:ascii="华文仿宋" w:hAnsi="华文仿宋" w:eastAsia="华文仿宋"/>
          <w:b/>
          <w:sz w:val="24"/>
          <w:szCs w:val="24"/>
        </w:rPr>
      </w:pPr>
      <w:r>
        <w:rPr>
          <w:rFonts w:hint="eastAsia" w:ascii="华文仿宋" w:hAnsi="华文仿宋" w:eastAsia="华文仿宋"/>
          <w:b/>
          <w:sz w:val="24"/>
          <w:szCs w:val="24"/>
        </w:rPr>
        <w:t xml:space="preserve">                  </w:t>
      </w:r>
      <w:r>
        <w:rPr>
          <w:rFonts w:hint="eastAsia" w:ascii="华文仿宋" w:hAnsi="华文仿宋" w:eastAsia="华文仿宋"/>
          <w:b/>
          <w:sz w:val="24"/>
          <w:szCs w:val="24"/>
          <w:lang w:val="en-US" w:eastAsia="zh-CN"/>
        </w:rPr>
        <w:t xml:space="preserve">   </w:t>
      </w:r>
      <w:r>
        <w:rPr>
          <w:rFonts w:hint="eastAsia" w:ascii="华文仿宋" w:hAnsi="华文仿宋" w:eastAsia="华文仿宋"/>
          <w:b/>
          <w:sz w:val="24"/>
          <w:szCs w:val="24"/>
        </w:rPr>
        <w:t>日期：</w:t>
      </w:r>
    </w:p>
    <w:p>
      <w:pPr>
        <w:spacing w:line="400" w:lineRule="exact"/>
        <w:ind w:firstLine="4565" w:firstLineChars="1900"/>
        <w:rPr>
          <w:rFonts w:ascii="华文仿宋" w:hAnsi="华文仿宋" w:eastAsia="华文仿宋"/>
          <w:b/>
          <w:sz w:val="24"/>
          <w:szCs w:val="24"/>
        </w:rPr>
      </w:pP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1E046AAE"/>
    <w:rsid w:val="20187825"/>
    <w:rsid w:val="26143FE2"/>
    <w:rsid w:val="26B332F5"/>
    <w:rsid w:val="26E837E0"/>
    <w:rsid w:val="28905623"/>
    <w:rsid w:val="2A48533C"/>
    <w:rsid w:val="2E1335C8"/>
    <w:rsid w:val="345B563C"/>
    <w:rsid w:val="35BB1B81"/>
    <w:rsid w:val="35FF7249"/>
    <w:rsid w:val="3D7A1A48"/>
    <w:rsid w:val="3DBA4743"/>
    <w:rsid w:val="3F533B77"/>
    <w:rsid w:val="40CC1C85"/>
    <w:rsid w:val="435A1985"/>
    <w:rsid w:val="4B7B7C7D"/>
    <w:rsid w:val="50657F53"/>
    <w:rsid w:val="620019EB"/>
    <w:rsid w:val="633B365B"/>
    <w:rsid w:val="66F62517"/>
    <w:rsid w:val="67851263"/>
    <w:rsid w:val="6A227C15"/>
    <w:rsid w:val="6C293EA4"/>
    <w:rsid w:val="70AA4656"/>
    <w:rsid w:val="76217A0F"/>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1</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2020-12-16T03:47:37Z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