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b/>
          <w:bCs/>
          <w:color w:val="000000" w:themeColor="text1"/>
          <w:sz w:val="24"/>
          <w:szCs w:val="24"/>
          <w:lang w:eastAsia="zh-CN"/>
          <w14:textFill>
            <w14:solidFill>
              <w14:schemeClr w14:val="tx1"/>
            </w14:solidFill>
          </w14:textFill>
        </w:rPr>
        <w:t>私募</w:t>
      </w:r>
      <w:r>
        <w:rPr>
          <w:rFonts w:hint="eastAsia" w:ascii="华文仿宋" w:hAnsi="华文仿宋" w:eastAsia="华文仿宋" w:cs="华文仿宋"/>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eastAsia="zh-CN"/>
              </w:rPr>
              <w:t>金胡杨封闭净值型同业理财</w:t>
            </w:r>
            <w:r>
              <w:rPr>
                <w:rFonts w:hint="eastAsia" w:ascii="华文仿宋" w:hAnsi="华文仿宋" w:eastAsia="华文仿宋" w:cs="华文仿宋"/>
                <w:b/>
                <w:bCs w:val="0"/>
                <w:kern w:val="0"/>
                <w:sz w:val="24"/>
                <w:szCs w:val="24"/>
                <w:lang w:val="en-US" w:eastAsia="zh-CN"/>
              </w:rPr>
              <w:t>2020007期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ascii="Tahoma" w:hAnsi="Tahoma" w:eastAsia="Tahoma" w:cs="Tahoma"/>
                <w:color w:val="000000"/>
                <w:sz w:val="18"/>
                <w:szCs w:val="18"/>
                <w:bdr w:val="none" w:color="auto" w:sz="0" w:space="0"/>
              </w:rPr>
              <w:t>C1364320A000044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bCs w:val="0"/>
                <w:kern w:val="0"/>
                <w:sz w:val="24"/>
                <w:szCs w:val="24"/>
                <w:u w:val="single"/>
              </w:rPr>
            </w:pPr>
            <w:r>
              <w:rPr>
                <w:rFonts w:hint="eastAsia" w:ascii="华文仿宋" w:hAnsi="华文仿宋" w:eastAsia="华文仿宋" w:cs="华文仿宋"/>
                <w:b/>
                <w:bCs w:val="0"/>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lang w:eastAsia="zh-CN"/>
              </w:rPr>
              <w:t>私</w:t>
            </w:r>
            <w:r>
              <w:rPr>
                <w:rStyle w:val="9"/>
                <w:rFonts w:hint="eastAsia" w:ascii="华文仿宋" w:hAnsi="华文仿宋" w:eastAsia="华文仿宋" w:cs="华文仿宋"/>
                <w:b/>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val="0"/>
                <w:sz w:val="24"/>
                <w:szCs w:val="24"/>
              </w:rPr>
            </w:pPr>
            <w:r>
              <w:rPr>
                <w:rStyle w:val="9"/>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b/>
                <w:bCs w:val="0"/>
                <w:sz w:val="24"/>
                <w:szCs w:val="24"/>
                <w:lang w:val="en-US" w:eastAsia="zh-CN"/>
              </w:rPr>
            </w:pPr>
            <w:r>
              <w:rPr>
                <w:rFonts w:hint="eastAsia" w:ascii="华文仿宋" w:hAnsi="华文仿宋" w:eastAsia="华文仿宋" w:cs="华文仿宋"/>
                <w:b/>
                <w:bCs w:val="0"/>
                <w:sz w:val="24"/>
                <w:szCs w:val="24"/>
                <w:lang w:val="en-US" w:eastAsia="zh-CN"/>
              </w:rPr>
              <w:t>110天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万元，以1</w:t>
            </w:r>
            <w:r>
              <w:rPr>
                <w:rFonts w:hint="eastAsia" w:ascii="华文仿宋" w:hAnsi="华文仿宋" w:eastAsia="华文仿宋" w:cs="华文仿宋"/>
                <w:bCs/>
                <w:kern w:val="0"/>
                <w:sz w:val="24"/>
                <w:szCs w:val="24"/>
                <w:lang w:eastAsia="zh-CN"/>
              </w:rPr>
              <w:t>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产品规模上限</w:t>
            </w:r>
            <w:r>
              <w:rPr>
                <w:rFonts w:hint="eastAsia" w:ascii="华文仿宋" w:hAnsi="华文仿宋" w:eastAsia="华文仿宋" w:cs="华文仿宋"/>
                <w:b/>
                <w:bCs/>
                <w:kern w:val="0"/>
                <w:sz w:val="24"/>
                <w:szCs w:val="24"/>
                <w:lang w:val="en-US" w:eastAsia="zh-CN"/>
              </w:rPr>
              <w:t>10000</w:t>
            </w:r>
            <w:r>
              <w:rPr>
                <w:rFonts w:hint="eastAsia" w:ascii="华文仿宋" w:hAnsi="华文仿宋" w:eastAsia="华文仿宋" w:cs="华文仿宋"/>
                <w:b/>
                <w:bCs/>
                <w:kern w:val="0"/>
                <w:sz w:val="24"/>
                <w:szCs w:val="24"/>
              </w:rPr>
              <w:t>万元，产品成立规模下限</w:t>
            </w:r>
            <w:r>
              <w:rPr>
                <w:rFonts w:hint="eastAsia" w:ascii="华文仿宋" w:hAnsi="华文仿宋" w:eastAsia="华文仿宋" w:cs="华文仿宋"/>
                <w:b/>
                <w:bCs/>
                <w:kern w:val="0"/>
                <w:sz w:val="24"/>
                <w:szCs w:val="24"/>
                <w:lang w:val="en-US" w:eastAsia="zh-CN"/>
              </w:rPr>
              <w:t>1000</w:t>
            </w:r>
            <w:r>
              <w:rPr>
                <w:rFonts w:hint="eastAsia" w:ascii="华文仿宋" w:hAnsi="华文仿宋" w:eastAsia="华文仿宋" w:cs="华文仿宋"/>
                <w:b/>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2020</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18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2020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18 </w:t>
            </w:r>
            <w:r>
              <w:rPr>
                <w:rFonts w:hint="eastAsia" w:ascii="华文仿宋" w:hAnsi="华文仿宋" w:eastAsia="华文仿宋" w:cs="华文仿宋"/>
                <w:b/>
                <w:bCs w:val="0"/>
                <w:kern w:val="0"/>
                <w:sz w:val="24"/>
                <w:szCs w:val="24"/>
              </w:rPr>
              <w:t>日。</w:t>
            </w:r>
            <w:r>
              <w:rPr>
                <w:rFonts w:hint="eastAsia" w:ascii="华文仿宋" w:hAnsi="华文仿宋" w:eastAsia="华文仿宋" w:cs="华文仿宋"/>
                <w:bCs/>
                <w:kern w:val="0"/>
                <w:sz w:val="24"/>
                <w:szCs w:val="24"/>
              </w:rPr>
              <w:t>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b/>
                <w:bCs/>
                <w:kern w:val="0"/>
                <w:sz w:val="24"/>
                <w:szCs w:val="24"/>
                <w:lang w:val="en-US" w:eastAsia="zh-CN"/>
              </w:rPr>
              <w:t>2020</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 xml:space="preserve">12 </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 xml:space="preserve">18 </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
                <w:bCs w:val="0"/>
                <w:sz w:val="24"/>
                <w:szCs w:val="24"/>
                <w:lang w:val="en-US" w:eastAsia="zh-CN"/>
              </w:rPr>
              <w:t>2021年04</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07日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04</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07日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3.8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3.8</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3.8</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4F67A5E"/>
    <w:rsid w:val="150B39CF"/>
    <w:rsid w:val="15825E96"/>
    <w:rsid w:val="158B366C"/>
    <w:rsid w:val="15D266DB"/>
    <w:rsid w:val="166528F4"/>
    <w:rsid w:val="175853D3"/>
    <w:rsid w:val="18307F10"/>
    <w:rsid w:val="19617D23"/>
    <w:rsid w:val="19EA4E16"/>
    <w:rsid w:val="1B1F7006"/>
    <w:rsid w:val="1B74754D"/>
    <w:rsid w:val="1B8B56DD"/>
    <w:rsid w:val="1BFE7181"/>
    <w:rsid w:val="1C4E0F77"/>
    <w:rsid w:val="1CFB3A9C"/>
    <w:rsid w:val="1D192D6F"/>
    <w:rsid w:val="1D87770E"/>
    <w:rsid w:val="1FBA04FB"/>
    <w:rsid w:val="207C11C5"/>
    <w:rsid w:val="219B0D2E"/>
    <w:rsid w:val="21D92FB0"/>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5F45948"/>
    <w:rsid w:val="47273A5C"/>
    <w:rsid w:val="47837790"/>
    <w:rsid w:val="47F62C3A"/>
    <w:rsid w:val="48122FCB"/>
    <w:rsid w:val="48C41F58"/>
    <w:rsid w:val="48DB283B"/>
    <w:rsid w:val="4AA84823"/>
    <w:rsid w:val="4B2E687E"/>
    <w:rsid w:val="4C7F635C"/>
    <w:rsid w:val="4D5765AE"/>
    <w:rsid w:val="4EB01BED"/>
    <w:rsid w:val="4F312243"/>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A2E5C18"/>
    <w:rsid w:val="5A3A65B9"/>
    <w:rsid w:val="5B19105A"/>
    <w:rsid w:val="5BA85F91"/>
    <w:rsid w:val="5C631025"/>
    <w:rsid w:val="5F06242E"/>
    <w:rsid w:val="60435A24"/>
    <w:rsid w:val="6099040F"/>
    <w:rsid w:val="60D12938"/>
    <w:rsid w:val="613B4D2D"/>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9E85951"/>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25</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2020-12-16T04:28:33Z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