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jc w:val="center"/>
        <w:rPr>
          <w:rFonts w:ascii="方正大黑简体" w:hAnsi="宋体" w:eastAsia="方正大黑简体"/>
          <w:b/>
          <w:sz w:val="32"/>
          <w:szCs w:val="32"/>
        </w:rPr>
      </w:pPr>
      <w:r>
        <w:rPr>
          <w:rFonts w:hint="eastAsia" w:ascii="方正大黑简体" w:hAnsi="宋体" w:eastAsia="方正大黑简体"/>
          <w:b/>
          <w:sz w:val="32"/>
          <w:szCs w:val="32"/>
        </w:rPr>
        <w:t xml:space="preserve"> 新疆银行人民币同业理财产品</w:t>
      </w:r>
      <w:r>
        <w:rPr>
          <w:rFonts w:ascii="方正大黑简体" w:hAnsi="宋体" w:eastAsia="方正大黑简体"/>
          <w:b/>
          <w:sz w:val="32"/>
          <w:szCs w:val="32"/>
        </w:rPr>
        <w:t>说明书</w:t>
      </w:r>
    </w:p>
    <w:p>
      <w:pPr>
        <w:ind w:right="-107" w:rightChars="-51"/>
        <w:jc w:val="center"/>
        <w:rPr>
          <w:rFonts w:ascii="宋体" w:hAnsi="宋体" w:cs="Times New Roman"/>
          <w:b/>
          <w:bCs/>
          <w:sz w:val="18"/>
          <w:szCs w:val="18"/>
        </w:rPr>
      </w:pPr>
      <w:r>
        <w:rPr>
          <w:rFonts w:hint="eastAsia" w:ascii="宋体" w:hAnsi="宋体" w:cs="Times New Roman"/>
          <w:b/>
          <w:bCs/>
          <w:sz w:val="18"/>
          <w:szCs w:val="18"/>
        </w:rPr>
        <w:t>特别风险提示</w:t>
      </w:r>
    </w:p>
    <w:p>
      <w:pPr>
        <w:ind w:right="-107" w:rightChars="-51"/>
        <w:jc w:val="left"/>
        <w:rPr>
          <w:rFonts w:ascii="宋体" w:hAnsi="宋体"/>
          <w:b/>
          <w:bCs/>
          <w:sz w:val="18"/>
          <w:szCs w:val="18"/>
        </w:rPr>
      </w:pPr>
      <w:r>
        <w:rPr>
          <w:rFonts w:hint="eastAsia" w:ascii="宋体" w:hAnsi="宋体"/>
          <w:b/>
          <w:bCs/>
          <w:sz w:val="18"/>
          <w:szCs w:val="18"/>
        </w:rPr>
        <w:t>★ 银行销售的理财产品与存款存在明显区别，理财非存款、产品有风险、投资须谨慎。</w:t>
      </w:r>
    </w:p>
    <w:p>
      <w:pPr>
        <w:ind w:right="-107" w:rightChars="-51"/>
        <w:rPr>
          <w:rFonts w:ascii="宋体" w:hAnsi="宋体"/>
          <w:b/>
          <w:bCs/>
          <w:sz w:val="18"/>
          <w:szCs w:val="18"/>
        </w:rPr>
      </w:pPr>
      <w:r>
        <w:rPr>
          <w:rFonts w:hint="eastAsia" w:ascii="宋体" w:hAnsi="宋体"/>
          <w:b/>
          <w:bCs/>
          <w:sz w:val="18"/>
          <w:szCs w:val="18"/>
        </w:rPr>
        <w:t>★ 理财产品过往业绩不代表其未来表现，不等于理财产品实际收益。</w:t>
      </w:r>
    </w:p>
    <w:p>
      <w:pPr>
        <w:ind w:left="266" w:right="-107" w:rightChars="-51" w:hanging="266" w:hangingChars="147"/>
        <w:jc w:val="left"/>
        <w:rPr>
          <w:rFonts w:ascii="宋体" w:hAnsi="宋体"/>
          <w:b/>
          <w:bCs/>
          <w:sz w:val="18"/>
          <w:szCs w:val="18"/>
        </w:rPr>
      </w:pPr>
      <w:r>
        <w:rPr>
          <w:rFonts w:hint="eastAsia" w:ascii="宋体" w:hAnsi="宋体"/>
          <w:b/>
          <w:bCs/>
          <w:sz w:val="18"/>
          <w:szCs w:val="18"/>
        </w:rPr>
        <w:t>★ 本产品为非保本浮动收益型产品，新疆银行理财产品内部风险评级为</w:t>
      </w:r>
      <w:r>
        <w:rPr>
          <w:rFonts w:hint="eastAsia" w:ascii="宋体" w:hAnsi="宋体"/>
          <w:b/>
          <w:bCs/>
          <w:sz w:val="18"/>
          <w:szCs w:val="18"/>
          <w:lang w:eastAsia="zh-CN"/>
        </w:rPr>
        <w:t>中低风险</w:t>
      </w:r>
      <w:r>
        <w:rPr>
          <w:rFonts w:hint="eastAsia" w:ascii="宋体" w:hAnsi="宋体"/>
          <w:b/>
          <w:bCs/>
          <w:sz w:val="18"/>
          <w:szCs w:val="18"/>
        </w:rPr>
        <w:t>，面向具有一定风险承受能力的有、无投资经验客户销售。</w:t>
      </w:r>
    </w:p>
    <w:p>
      <w:pPr>
        <w:ind w:left="266" w:right="-107" w:rightChars="-51" w:hanging="266" w:hangingChars="147"/>
        <w:jc w:val="left"/>
        <w:rPr>
          <w:rFonts w:ascii="宋体" w:hAnsi="宋体"/>
          <w:b/>
          <w:bCs/>
          <w:sz w:val="18"/>
          <w:szCs w:val="18"/>
        </w:rPr>
      </w:pPr>
      <w:r>
        <w:rPr>
          <w:rFonts w:hint="eastAsia" w:ascii="宋体" w:hAnsi="宋体"/>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书风险揭示的内容，基于自身的独立判断进行投资决策。</w:t>
      </w:r>
    </w:p>
    <w:p>
      <w:pPr>
        <w:ind w:left="266" w:right="-107" w:rightChars="-51" w:hanging="266" w:hangingChars="147"/>
        <w:jc w:val="left"/>
        <w:rPr>
          <w:rFonts w:ascii="宋体" w:hAnsi="宋体"/>
          <w:b/>
          <w:bCs/>
          <w:sz w:val="18"/>
          <w:szCs w:val="18"/>
        </w:rPr>
      </w:pPr>
      <w:r>
        <w:rPr>
          <w:rFonts w:hint="eastAsia" w:ascii="宋体" w:hAnsi="宋体"/>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ind w:left="266" w:right="-107" w:rightChars="-51" w:hanging="266" w:hangingChars="147"/>
        <w:jc w:val="left"/>
        <w:rPr>
          <w:rFonts w:ascii="宋体" w:hAnsi="宋体" w:cs="宋体"/>
          <w:b/>
          <w:sz w:val="18"/>
          <w:szCs w:val="18"/>
        </w:rPr>
      </w:pPr>
      <w:r>
        <w:rPr>
          <w:rFonts w:hint="eastAsia" w:ascii="宋体" w:hAnsi="宋体"/>
          <w:b/>
          <w:bCs/>
          <w:sz w:val="18"/>
          <w:szCs w:val="18"/>
        </w:rPr>
        <w:t xml:space="preserve">★ </w:t>
      </w:r>
      <w:r>
        <w:rPr>
          <w:rFonts w:hint="eastAsia" w:ascii="宋体" w:hAnsi="宋体" w:cs="宋体"/>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pPr>
        <w:ind w:left="266" w:right="-107" w:rightChars="-51" w:hanging="266" w:hangingChars="147"/>
        <w:jc w:val="left"/>
        <w:rPr>
          <w:rFonts w:ascii="宋体" w:hAnsi="宋体"/>
          <w:b/>
          <w:bCs/>
          <w:sz w:val="18"/>
          <w:szCs w:val="18"/>
        </w:rPr>
      </w:pPr>
      <w:r>
        <w:rPr>
          <w:rFonts w:hint="eastAsia" w:ascii="宋体" w:hAnsi="宋体"/>
          <w:b/>
          <w:bCs/>
          <w:sz w:val="18"/>
          <w:szCs w:val="18"/>
        </w:rPr>
        <w:t>★ 投资者对本理财产品说明书的内容有任何疑问，请向新疆银行咨询。在购买本理财产品后，投资者应随时关注该理财产品的信息披露情况，及时获取相关信息。</w:t>
      </w:r>
    </w:p>
    <w:p>
      <w:pPr>
        <w:ind w:left="266" w:right="-107" w:rightChars="-51" w:hanging="266" w:hangingChars="147"/>
        <w:jc w:val="left"/>
        <w:rPr>
          <w:rFonts w:ascii="宋体" w:hAnsi="宋体"/>
          <w:b/>
          <w:bCs/>
          <w:sz w:val="18"/>
          <w:szCs w:val="18"/>
        </w:rPr>
      </w:pPr>
      <w:r>
        <w:rPr>
          <w:rFonts w:hint="eastAsia" w:ascii="宋体" w:hAnsi="宋体"/>
          <w:b/>
          <w:bCs/>
          <w:sz w:val="18"/>
          <w:szCs w:val="18"/>
        </w:rPr>
        <w:t>★ 在购买理财产品后，投资者应随时关注该理财产品的信息披露情况，及时获取相关信息。可依据本产品登记编码在“中国理财网(www.china</w:t>
      </w:r>
      <w:r>
        <w:rPr>
          <w:rFonts w:hint="eastAsia" w:ascii="宋体" w:hAnsi="宋体"/>
          <w:b/>
          <w:bCs/>
          <w:sz w:val="18"/>
          <w:szCs w:val="18"/>
          <w:lang w:val="en-US" w:eastAsia="zh-CN"/>
        </w:rPr>
        <w:t>w</w:t>
      </w:r>
      <w:r>
        <w:rPr>
          <w:rFonts w:hint="eastAsia" w:ascii="宋体" w:hAnsi="宋体"/>
          <w:b/>
          <w:bCs/>
          <w:sz w:val="18"/>
          <w:szCs w:val="18"/>
        </w:rPr>
        <w:t>ealth.com.cn)”查询产品信息</w:t>
      </w:r>
    </w:p>
    <w:p>
      <w:pPr>
        <w:rPr>
          <w:rFonts w:ascii="宋体" w:hAnsi="宋体"/>
          <w:b/>
          <w:bCs/>
          <w:sz w:val="18"/>
          <w:szCs w:val="18"/>
        </w:rPr>
      </w:pPr>
      <w:r>
        <w:rPr>
          <w:rFonts w:hint="eastAsia" w:ascii="宋体" w:hAnsi="宋体"/>
          <w:b/>
          <w:bCs/>
          <w:sz w:val="18"/>
          <w:szCs w:val="18"/>
        </w:rPr>
        <w:t>一、产品概述</w:t>
      </w:r>
    </w:p>
    <w:tbl>
      <w:tblPr>
        <w:tblStyle w:val="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ascii="宋体" w:hAnsi="宋体"/>
                <w:bCs/>
                <w:sz w:val="18"/>
                <w:szCs w:val="18"/>
              </w:rPr>
            </w:pPr>
            <w:r>
              <w:rPr>
                <w:rFonts w:hint="eastAsia" w:ascii="宋体" w:hAnsi="宋体"/>
                <w:bCs/>
                <w:sz w:val="18"/>
                <w:szCs w:val="18"/>
              </w:rPr>
              <w:t>产品名称</w:t>
            </w:r>
          </w:p>
        </w:tc>
        <w:tc>
          <w:tcPr>
            <w:tcW w:w="7229" w:type="dxa"/>
          </w:tcPr>
          <w:p>
            <w:pPr>
              <w:rPr>
                <w:rFonts w:ascii="宋体" w:hAnsi="宋体"/>
                <w:bCs/>
                <w:sz w:val="18"/>
                <w:szCs w:val="18"/>
              </w:rPr>
            </w:pPr>
            <w:r>
              <w:rPr>
                <w:rFonts w:hint="eastAsia" w:ascii="宋体" w:hAnsi="宋体"/>
                <w:bCs/>
                <w:sz w:val="18"/>
                <w:szCs w:val="18"/>
              </w:rPr>
              <w:t>新疆银行</w:t>
            </w:r>
            <w:r>
              <w:rPr>
                <w:rFonts w:hint="eastAsia" w:ascii="宋体" w:hAnsi="宋体"/>
                <w:bCs/>
                <w:sz w:val="18"/>
                <w:szCs w:val="18"/>
                <w:u w:val="single"/>
              </w:rPr>
              <w:t>_金胡杨同业理财20200</w:t>
            </w:r>
            <w:r>
              <w:rPr>
                <w:rFonts w:hint="eastAsia" w:ascii="宋体" w:hAnsi="宋体"/>
                <w:bCs/>
                <w:sz w:val="18"/>
                <w:szCs w:val="18"/>
                <w:u w:val="single"/>
                <w:lang w:val="en-US" w:eastAsia="zh-CN"/>
              </w:rPr>
              <w:t>30</w:t>
            </w:r>
            <w:r>
              <w:rPr>
                <w:rFonts w:hint="eastAsia" w:ascii="宋体" w:hAnsi="宋体"/>
                <w:bCs/>
                <w:sz w:val="18"/>
                <w:szCs w:val="18"/>
                <w:u w:val="single"/>
              </w:rPr>
              <w:t>期</w:t>
            </w:r>
            <w:r>
              <w:rPr>
                <w:rFonts w:hint="eastAsia" w:ascii="宋体" w:hAnsi="宋体"/>
                <w:bCs/>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产品登记编码</w:t>
            </w:r>
          </w:p>
        </w:tc>
        <w:tc>
          <w:tcPr>
            <w:tcW w:w="7229" w:type="dxa"/>
          </w:tcPr>
          <w:p>
            <w:pPr>
              <w:rPr>
                <w:rFonts w:ascii="宋体" w:hAnsi="宋体"/>
                <w:b/>
                <w:bCs/>
                <w:sz w:val="18"/>
                <w:szCs w:val="18"/>
              </w:rPr>
            </w:pPr>
            <w:r>
              <w:rPr>
                <w:rFonts w:hint="eastAsia" w:ascii="宋体" w:hAnsi="宋体"/>
                <w:b/>
                <w:bCs/>
                <w:sz w:val="18"/>
                <w:szCs w:val="18"/>
              </w:rPr>
              <w:t xml:space="preserve">    C1364320A000040</w:t>
            </w:r>
            <w:bookmarkStart w:id="0" w:name="_GoBack"/>
            <w:bookmarkEnd w:id="0"/>
            <w:r>
              <w:rPr>
                <w:rFonts w:hint="eastAsia" w:ascii="宋体" w:hAnsi="宋体"/>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产品类型</w:t>
            </w:r>
          </w:p>
        </w:tc>
        <w:tc>
          <w:tcPr>
            <w:tcW w:w="7229" w:type="dxa"/>
          </w:tcPr>
          <w:p>
            <w:pPr>
              <w:rPr>
                <w:rFonts w:ascii="宋体" w:hAnsi="宋体"/>
                <w:b/>
                <w:bCs/>
                <w:sz w:val="18"/>
                <w:szCs w:val="18"/>
              </w:rPr>
            </w:pPr>
            <w:r>
              <w:rPr>
                <w:rFonts w:hint="eastAsia" w:ascii="宋体" w:hAnsi="宋体"/>
                <w:b/>
                <w:bCs/>
                <w:sz w:val="18"/>
                <w:szCs w:val="18"/>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产品流动性</w:t>
            </w:r>
          </w:p>
        </w:tc>
        <w:tc>
          <w:tcPr>
            <w:tcW w:w="7229" w:type="dxa"/>
          </w:tcPr>
          <w:p>
            <w:pPr>
              <w:rPr>
                <w:rFonts w:ascii="宋体" w:hAns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投资及收益币种</w:t>
            </w:r>
          </w:p>
        </w:tc>
        <w:tc>
          <w:tcPr>
            <w:tcW w:w="7229" w:type="dxa"/>
          </w:tcPr>
          <w:p>
            <w:pPr>
              <w:rPr>
                <w:rFonts w:ascii="宋体" w:hAnsi="宋体"/>
                <w:bCs/>
                <w:sz w:val="18"/>
                <w:szCs w:val="18"/>
              </w:rPr>
            </w:pPr>
            <w:r>
              <w:rPr>
                <w:rFonts w:hint="eastAsia" w:ascii="宋体" w:hAnsi="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产品期限</w:t>
            </w:r>
          </w:p>
        </w:tc>
        <w:tc>
          <w:tcPr>
            <w:tcW w:w="7229" w:type="dxa"/>
          </w:tcPr>
          <w:p>
            <w:pPr>
              <w:rPr>
                <w:rFonts w:ascii="宋体" w:cs="宋体"/>
                <w:b/>
                <w:bCs/>
                <w:sz w:val="18"/>
                <w:szCs w:val="18"/>
              </w:rPr>
            </w:pPr>
            <w:r>
              <w:rPr>
                <w:rFonts w:hint="eastAsia" w:ascii="宋体" w:hAnsi="宋体" w:cs="宋体"/>
                <w:b/>
                <w:bCs/>
                <w:sz w:val="18"/>
                <w:szCs w:val="18"/>
              </w:rPr>
              <w:t>【</w:t>
            </w:r>
            <w:r>
              <w:rPr>
                <w:rFonts w:hint="eastAsia" w:ascii="宋体" w:hAnsi="宋体" w:cs="宋体"/>
                <w:b/>
                <w:bCs/>
                <w:sz w:val="18"/>
                <w:szCs w:val="18"/>
                <w:lang w:val="en-US" w:eastAsia="zh-CN"/>
              </w:rPr>
              <w:t>198</w:t>
            </w:r>
            <w:r>
              <w:rPr>
                <w:rFonts w:hint="eastAsia" w:ascii="宋体" w:hAnsi="宋体" w:cs="宋体"/>
                <w:b/>
                <w:bCs/>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722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hint="eastAsia" w:ascii="宋体" w:hAnsi="宋体" w:cs="宋体"/>
                <w:kern w:val="0"/>
                <w:sz w:val="18"/>
                <w:szCs w:val="18"/>
                <w:lang w:val="en-US" w:eastAsia="zh-CN"/>
              </w:rPr>
              <w:t>10000</w:t>
            </w:r>
            <w:r>
              <w:rPr>
                <w:rFonts w:hint="eastAsia" w:ascii="宋体" w:hAnsi="宋体" w:cs="宋体"/>
                <w:kern w:val="0"/>
                <w:sz w:val="18"/>
                <w:szCs w:val="18"/>
              </w:rPr>
              <w:t>】万元，产品成立规模下限【</w:t>
            </w:r>
            <w:r>
              <w:rPr>
                <w:rFonts w:hint="eastAsia" w:ascii="宋体" w:hAnsi="宋体" w:cs="宋体"/>
                <w:kern w:val="0"/>
                <w:sz w:val="18"/>
                <w:szCs w:val="18"/>
                <w:lang w:val="en-US" w:eastAsia="zh-CN"/>
              </w:rPr>
              <w:t>1</w:t>
            </w:r>
            <w:r>
              <w:rPr>
                <w:rFonts w:hint="eastAsia" w:ascii="宋体" w:hAnsi="宋体" w:cs="宋体"/>
                <w:kern w:val="0"/>
                <w:sz w:val="18"/>
                <w:szCs w:val="18"/>
              </w:rPr>
              <w:t>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内部风险评级</w:t>
            </w:r>
          </w:p>
        </w:tc>
        <w:tc>
          <w:tcPr>
            <w:tcW w:w="7229" w:type="dxa"/>
          </w:tcPr>
          <w:p>
            <w:pPr>
              <w:rPr>
                <w:rFonts w:ascii="宋体" w:hAnsi="宋体"/>
                <w:bCs/>
                <w:sz w:val="18"/>
                <w:szCs w:val="18"/>
              </w:rPr>
            </w:pPr>
            <w:r>
              <w:rPr>
                <w:rFonts w:hint="eastAsia" w:ascii="宋体" w:hAnsi="宋体"/>
                <w:bCs/>
                <w:sz w:val="18"/>
                <w:szCs w:val="18"/>
              </w:rPr>
              <w:t>新疆银行理财产品风险评级，本产品属于【</w:t>
            </w:r>
            <w:r>
              <w:rPr>
                <w:rFonts w:hint="eastAsia" w:ascii="宋体" w:hAnsi="宋体"/>
                <w:bCs/>
                <w:sz w:val="18"/>
                <w:szCs w:val="18"/>
                <w:lang w:eastAsia="zh-CN"/>
              </w:rPr>
              <w:t>□低风险、■中低风险、□中等风险、□较高风险、□高风险</w:t>
            </w:r>
            <w:r>
              <w:rPr>
                <w:rFonts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提前终止权</w:t>
            </w:r>
          </w:p>
        </w:tc>
        <w:tc>
          <w:tcPr>
            <w:tcW w:w="7229" w:type="dxa"/>
          </w:tcPr>
          <w:p>
            <w:pPr>
              <w:rPr>
                <w:rFonts w:ascii="宋体" w:hAnsi="宋体"/>
                <w:bCs/>
                <w:sz w:val="18"/>
                <w:szCs w:val="18"/>
              </w:rPr>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cs="宋体"/>
                <w:bCs/>
                <w:sz w:val="18"/>
                <w:szCs w:val="18"/>
              </w:rPr>
            </w:pPr>
            <w:r>
              <w:rPr>
                <w:rFonts w:hint="eastAsia" w:ascii="宋体" w:hAnsi="宋体" w:cs="宋体"/>
                <w:bCs/>
                <w:sz w:val="18"/>
                <w:szCs w:val="18"/>
              </w:rPr>
              <w:t>申购/赎回</w:t>
            </w:r>
          </w:p>
        </w:tc>
        <w:tc>
          <w:tcPr>
            <w:tcW w:w="7229" w:type="dxa"/>
          </w:tcPr>
          <w:p>
            <w:pPr>
              <w:rPr>
                <w:rFonts w:ascii="宋体" w:hAnsi="宋体" w:cs="宋体"/>
                <w:bCs/>
                <w:sz w:val="18"/>
                <w:szCs w:val="18"/>
              </w:rPr>
            </w:pPr>
            <w:r>
              <w:rPr>
                <w:rFonts w:hint="eastAsia" w:ascii="宋体" w:hAnsi="宋体" w:cs="宋体"/>
                <w:bCs/>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7229" w:type="dxa"/>
          </w:tcPr>
          <w:p>
            <w:pPr>
              <w:widowControl/>
              <w:jc w:val="left"/>
            </w:pPr>
            <w:r>
              <w:rPr>
                <w:rFonts w:hint="eastAsia" w:ascii="宋体" w:hAnsi="宋体" w:cs="仿宋_GB2312"/>
                <w:color w:val="000000" w:themeColor="text1"/>
                <w:kern w:val="0"/>
                <w:sz w:val="18"/>
                <w:szCs w:val="18"/>
                <w14:textFill>
                  <w14:solidFill>
                    <w14:schemeClr w14:val="tx1"/>
                  </w14:solidFill>
                </w14:textFill>
              </w:rPr>
              <w:t>【2020】年【</w:t>
            </w:r>
            <w:r>
              <w:rPr>
                <w:rFonts w:hint="eastAsia" w:ascii="宋体" w:hAnsi="宋体" w:cs="仿宋_GB2312"/>
                <w:color w:val="000000" w:themeColor="text1"/>
                <w:kern w:val="0"/>
                <w:sz w:val="18"/>
                <w:szCs w:val="18"/>
                <w:lang w:val="en-US" w:eastAsia="zh-CN"/>
                <w14:textFill>
                  <w14:solidFill>
                    <w14:schemeClr w14:val="tx1"/>
                  </w14:solidFill>
                </w14:textFill>
              </w:rPr>
              <w:t>11</w:t>
            </w:r>
            <w:r>
              <w:rPr>
                <w:rFonts w:hint="eastAsia" w:ascii="宋体" w:hAnsi="宋体" w:cs="仿宋_GB2312"/>
                <w:color w:val="000000" w:themeColor="text1"/>
                <w:kern w:val="0"/>
                <w:sz w:val="18"/>
                <w:szCs w:val="18"/>
                <w14:textFill>
                  <w14:solidFill>
                    <w14:schemeClr w14:val="tx1"/>
                  </w14:solidFill>
                </w14:textFill>
              </w:rPr>
              <w:t>】月【</w:t>
            </w:r>
            <w:r>
              <w:rPr>
                <w:rFonts w:hint="eastAsia" w:ascii="宋体" w:hAnsi="宋体" w:cs="仿宋_GB2312"/>
                <w:color w:val="000000" w:themeColor="text1"/>
                <w:kern w:val="0"/>
                <w:sz w:val="18"/>
                <w:szCs w:val="18"/>
                <w:lang w:val="en-US" w:eastAsia="zh-CN"/>
                <w14:textFill>
                  <w14:solidFill>
                    <w14:schemeClr w14:val="tx1"/>
                  </w14:solidFill>
                </w14:textFill>
              </w:rPr>
              <w:t>24</w:t>
            </w:r>
            <w:r>
              <w:rPr>
                <w:rFonts w:hint="eastAsia" w:ascii="宋体" w:hAnsi="宋体" w:cs="仿宋_GB2312"/>
                <w:color w:val="000000" w:themeColor="text1"/>
                <w:kern w:val="0"/>
                <w:sz w:val="18"/>
                <w:szCs w:val="18"/>
                <w14:textFill>
                  <w14:solidFill>
                    <w14:schemeClr w14:val="tx1"/>
                  </w14:solidFill>
                </w14:textFill>
              </w:rPr>
              <w:t>】日。</w:t>
            </w:r>
            <w:r>
              <w:rPr>
                <w:rFonts w:hint="eastAsia" w:ascii="宋体" w:hAnsi="宋体" w:cs="宋体"/>
                <w:bCs/>
                <w:color w:val="000000" w:themeColor="text1"/>
                <w:kern w:val="0"/>
                <w:sz w:val="18"/>
                <w:szCs w:val="18"/>
                <w14:textFill>
                  <w14:solidFill>
                    <w14:schemeClr w14:val="tx1"/>
                  </w14:solidFill>
                </w14:textFill>
              </w:rPr>
              <w:t>即客</w:t>
            </w:r>
            <w:r>
              <w:rPr>
                <w:rFonts w:hint="eastAsia" w:ascii="宋体" w:hAnsi="宋体" w:cs="宋体"/>
                <w:bCs/>
                <w:kern w:val="0"/>
                <w:sz w:val="18"/>
                <w:szCs w:val="18"/>
              </w:rPr>
              <w:t>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成立日</w:t>
            </w:r>
          </w:p>
        </w:tc>
        <w:tc>
          <w:tcPr>
            <w:tcW w:w="7229" w:type="dxa"/>
          </w:tcPr>
          <w:p>
            <w:pPr>
              <w:rPr>
                <w:rFonts w:ascii="宋体" w:hAnsi="宋体"/>
                <w:bCs/>
                <w:sz w:val="18"/>
                <w:szCs w:val="18"/>
              </w:rPr>
            </w:pPr>
            <w:r>
              <w:rPr>
                <w:rFonts w:hint="eastAsia" w:ascii="宋体" w:hAnsi="宋体"/>
                <w:bCs/>
                <w:color w:val="000000" w:themeColor="text1"/>
                <w:sz w:val="18"/>
                <w:szCs w:val="18"/>
                <w14:textFill>
                  <w14:solidFill>
                    <w14:schemeClr w14:val="tx1"/>
                  </w14:solidFill>
                </w14:textFill>
              </w:rPr>
              <w:t>【2020】年【</w:t>
            </w:r>
            <w:r>
              <w:rPr>
                <w:rFonts w:hint="eastAsia" w:ascii="宋体" w:hAnsi="宋体"/>
                <w:bCs/>
                <w:color w:val="000000" w:themeColor="text1"/>
                <w:sz w:val="18"/>
                <w:szCs w:val="18"/>
                <w:lang w:val="en-US" w:eastAsia="zh-CN"/>
                <w14:textFill>
                  <w14:solidFill>
                    <w14:schemeClr w14:val="tx1"/>
                  </w14:solidFill>
                </w14:textFill>
              </w:rPr>
              <w:t>11</w:t>
            </w:r>
            <w:r>
              <w:rPr>
                <w:rFonts w:hint="eastAsia" w:ascii="宋体" w:hAnsi="宋体"/>
                <w:bCs/>
                <w:color w:val="000000" w:themeColor="text1"/>
                <w:sz w:val="18"/>
                <w:szCs w:val="18"/>
                <w14:textFill>
                  <w14:solidFill>
                    <w14:schemeClr w14:val="tx1"/>
                  </w14:solidFill>
                </w14:textFill>
              </w:rPr>
              <w:t>】月【</w:t>
            </w:r>
            <w:r>
              <w:rPr>
                <w:rFonts w:hint="eastAsia" w:ascii="宋体" w:hAnsi="宋体"/>
                <w:bCs/>
                <w:color w:val="000000" w:themeColor="text1"/>
                <w:sz w:val="18"/>
                <w:szCs w:val="18"/>
                <w:lang w:val="en-US" w:eastAsia="zh-CN"/>
                <w14:textFill>
                  <w14:solidFill>
                    <w14:schemeClr w14:val="tx1"/>
                  </w14:solidFill>
                </w14:textFill>
              </w:rPr>
              <w:t>24</w:t>
            </w:r>
            <w:r>
              <w:rPr>
                <w:rFonts w:hint="eastAsia" w:ascii="宋体" w:hAnsi="宋体"/>
                <w:bCs/>
                <w:color w:val="000000" w:themeColor="text1"/>
                <w:sz w:val="18"/>
                <w:szCs w:val="18"/>
                <w14:textFill>
                  <w14:solidFill>
                    <w14:schemeClr w14:val="tx1"/>
                  </w14:solidFill>
                </w14:textFill>
              </w:rPr>
              <w:t>】日，</w:t>
            </w:r>
            <w:r>
              <w:rPr>
                <w:rFonts w:hint="eastAsia" w:ascii="宋体" w:hAnsi="宋体" w:cs="宋体"/>
                <w:color w:val="000000" w:themeColor="text1"/>
                <w:kern w:val="0"/>
                <w:sz w:val="18"/>
                <w:szCs w:val="18"/>
                <w14:textFill>
                  <w14:solidFill>
                    <w14:schemeClr w14:val="tx1"/>
                  </w14:solidFill>
                </w14:textFill>
              </w:rPr>
              <w:t>理</w:t>
            </w:r>
            <w:r>
              <w:rPr>
                <w:rFonts w:hint="eastAsia" w:ascii="宋体" w:hAnsi="宋体" w:cs="宋体"/>
                <w:kern w:val="0"/>
                <w:sz w:val="18"/>
                <w:szCs w:val="18"/>
              </w:rPr>
              <w:t>财产品自成立日起计算理财收益。</w:t>
            </w:r>
            <w:r>
              <w:rPr>
                <w:rFonts w:hint="eastAsia" w:ascii="宋体" w:hAnsi="宋体" w:cs="宋体"/>
                <w:bCs/>
                <w:kern w:val="0"/>
                <w:sz w:val="18"/>
                <w:szCs w:val="18"/>
              </w:rPr>
              <w:t>在正常情况下，产品的成立日为募集期结束当日。但在以下两种情形除外：（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到期日</w:t>
            </w:r>
          </w:p>
        </w:tc>
        <w:tc>
          <w:tcPr>
            <w:tcW w:w="7229" w:type="dxa"/>
          </w:tcPr>
          <w:p>
            <w:pP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【202</w:t>
            </w:r>
            <w:r>
              <w:rPr>
                <w:rFonts w:hint="eastAsia" w:ascii="宋体" w:hAnsi="宋体" w:cs="宋体"/>
                <w:bCs/>
                <w:color w:val="000000" w:themeColor="text1"/>
                <w:sz w:val="18"/>
                <w:szCs w:val="18"/>
                <w:lang w:val="en-US" w:eastAsia="zh-CN"/>
                <w14:textFill>
                  <w14:solidFill>
                    <w14:schemeClr w14:val="tx1"/>
                  </w14:solidFill>
                </w14:textFill>
              </w:rPr>
              <w:t>1</w:t>
            </w:r>
            <w:r>
              <w:rPr>
                <w:rFonts w:hint="eastAsia" w:ascii="宋体" w:hAnsi="宋体" w:cs="宋体"/>
                <w:bCs/>
                <w:color w:val="000000" w:themeColor="text1"/>
                <w:sz w:val="18"/>
                <w:szCs w:val="18"/>
                <w14:textFill>
                  <w14:solidFill>
                    <w14:schemeClr w14:val="tx1"/>
                  </w14:solidFill>
                </w14:textFill>
              </w:rPr>
              <w:t>】年</w:t>
            </w:r>
            <w:r>
              <w:rPr>
                <w:rFonts w:hint="eastAsia"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lang w:val="en-US" w:eastAsia="zh-CN"/>
                <w14:textFill>
                  <w14:solidFill>
                    <w14:schemeClr w14:val="tx1"/>
                  </w14:solidFill>
                </w14:textFill>
              </w:rPr>
              <w:t>06</w:t>
            </w:r>
            <w:r>
              <w:rPr>
                <w:rFonts w:hint="eastAsia" w:ascii="宋体" w:hAnsi="宋体" w:cs="宋体"/>
                <w:bCs/>
                <w:color w:val="000000" w:themeColor="text1"/>
                <w:sz w:val="18"/>
                <w:szCs w:val="18"/>
                <w14:textFill>
                  <w14:solidFill>
                    <w14:schemeClr w14:val="tx1"/>
                  </w14:solidFill>
                </w14:textFill>
              </w:rPr>
              <w:t>】月【</w:t>
            </w:r>
            <w:r>
              <w:rPr>
                <w:rFonts w:hint="eastAsia" w:ascii="宋体" w:hAnsi="宋体" w:cs="宋体"/>
                <w:bCs/>
                <w:color w:val="000000" w:themeColor="text1"/>
                <w:sz w:val="18"/>
                <w:szCs w:val="18"/>
                <w:lang w:val="en-US" w:eastAsia="zh-CN"/>
                <w14:textFill>
                  <w14:solidFill>
                    <w14:schemeClr w14:val="tx1"/>
                  </w14:solidFill>
                </w14:textFill>
              </w:rPr>
              <w:t>10</w:t>
            </w:r>
            <w:r>
              <w:rPr>
                <w:rFonts w:hint="eastAsia" w:ascii="宋体" w:hAnsi="宋体" w:cs="宋体"/>
                <w:bCs/>
                <w:color w:val="000000" w:themeColor="text1"/>
                <w:sz w:val="18"/>
                <w:szCs w:val="18"/>
                <w14:textFill>
                  <w14:solidFill>
                    <w14:schemeClr w14:val="tx1"/>
                  </w14:solidFill>
                </w14:textFill>
              </w:rPr>
              <w:t>】日，到期日（或提前终止日）至兑付日之间客户资金不计收益。如遇非工作日则顺延至其后第一个工作日，</w:t>
            </w:r>
            <w:r>
              <w:rPr>
                <w:rFonts w:hint="eastAsia" w:ascii="宋体" w:hAnsi="宋体" w:cs="宋体"/>
                <w:bCs/>
                <w:color w:val="000000" w:themeColor="text1"/>
                <w:kern w:val="0"/>
                <w:sz w:val="18"/>
                <w:szCs w:val="18"/>
                <w14:textFill>
                  <w14:solidFill>
                    <w14:schemeClr w14:val="tx1"/>
                  </w14:solidFill>
                </w14:textFill>
              </w:rPr>
              <w:t>实际产品到期日、理财运作期限受制于银行提前终止条款。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兑付日</w:t>
            </w:r>
          </w:p>
        </w:tc>
        <w:tc>
          <w:tcPr>
            <w:tcW w:w="7229" w:type="dxa"/>
          </w:tcPr>
          <w:p>
            <w:pPr>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【202</w:t>
            </w:r>
            <w:r>
              <w:rPr>
                <w:rFonts w:hint="eastAsia" w:ascii="宋体" w:hAnsi="宋体"/>
                <w:bCs/>
                <w:color w:val="000000" w:themeColor="text1"/>
                <w:sz w:val="18"/>
                <w:szCs w:val="18"/>
                <w:lang w:val="en-US" w:eastAsia="zh-CN"/>
                <w14:textFill>
                  <w14:solidFill>
                    <w14:schemeClr w14:val="tx1"/>
                  </w14:solidFill>
                </w14:textFill>
              </w:rPr>
              <w:t>1</w:t>
            </w:r>
            <w:r>
              <w:rPr>
                <w:rFonts w:hint="eastAsia" w:ascii="宋体" w:hAnsi="宋体"/>
                <w:bCs/>
                <w:color w:val="000000" w:themeColor="text1"/>
                <w:sz w:val="18"/>
                <w:szCs w:val="18"/>
                <w14:textFill>
                  <w14:solidFill>
                    <w14:schemeClr w14:val="tx1"/>
                  </w14:solidFill>
                </w14:textFill>
              </w:rPr>
              <w:t>】年【</w:t>
            </w:r>
            <w:r>
              <w:rPr>
                <w:rFonts w:hint="eastAsia" w:ascii="宋体" w:hAnsi="宋体"/>
                <w:bCs/>
                <w:color w:val="000000" w:themeColor="text1"/>
                <w:sz w:val="18"/>
                <w:szCs w:val="18"/>
                <w:lang w:val="en-US" w:eastAsia="zh-CN"/>
                <w14:textFill>
                  <w14:solidFill>
                    <w14:schemeClr w14:val="tx1"/>
                  </w14:solidFill>
                </w14:textFill>
              </w:rPr>
              <w:t>06</w:t>
            </w:r>
            <w:r>
              <w:rPr>
                <w:rFonts w:hint="eastAsia" w:ascii="宋体" w:hAnsi="宋体"/>
                <w:bCs/>
                <w:color w:val="000000" w:themeColor="text1"/>
                <w:sz w:val="18"/>
                <w:szCs w:val="18"/>
                <w14:textFill>
                  <w14:solidFill>
                    <w14:schemeClr w14:val="tx1"/>
                  </w14:solidFill>
                </w14:textFill>
              </w:rPr>
              <w:t>】月【</w:t>
            </w:r>
            <w:r>
              <w:rPr>
                <w:rFonts w:hint="eastAsia" w:ascii="宋体" w:hAnsi="宋体"/>
                <w:bCs/>
                <w:color w:val="000000" w:themeColor="text1"/>
                <w:sz w:val="18"/>
                <w:szCs w:val="18"/>
                <w:lang w:val="en-US" w:eastAsia="zh-CN"/>
                <w14:textFill>
                  <w14:solidFill>
                    <w14:schemeClr w14:val="tx1"/>
                  </w14:solidFill>
                </w14:textFill>
              </w:rPr>
              <w:t>10</w:t>
            </w:r>
            <w:r>
              <w:rPr>
                <w:rFonts w:hint="eastAsia" w:ascii="宋体" w:hAnsi="宋体"/>
                <w:bCs/>
                <w:color w:val="000000" w:themeColor="text1"/>
                <w:sz w:val="18"/>
                <w:szCs w:val="18"/>
                <w14:textFill>
                  <w14:solidFill>
                    <w14:schemeClr w14:val="tx1"/>
                  </w14:solidFill>
                </w14:textFill>
              </w:rPr>
              <w:t>】日，兑付日是客户理财资金到账日，</w:t>
            </w:r>
            <w:r>
              <w:rPr>
                <w:rFonts w:hint="eastAsia" w:ascii="宋体" w:hAnsi="宋体" w:cs="宋体"/>
                <w:bCs/>
                <w:color w:val="000000" w:themeColor="text1"/>
                <w:sz w:val="18"/>
                <w:szCs w:val="18"/>
                <w14:textFill>
                  <w14:solidFill>
                    <w14:schemeClr w14:val="tx1"/>
                  </w14:solidFill>
                </w14:textFill>
              </w:rPr>
              <w:t>如遇非工作日则顺延至节后第一个工作日，</w:t>
            </w:r>
            <w:r>
              <w:rPr>
                <w:rFonts w:hint="eastAsia" w:ascii="宋体" w:hAnsi="宋体"/>
                <w:bCs/>
                <w:color w:val="000000" w:themeColor="text1"/>
                <w:sz w:val="18"/>
                <w:szCs w:val="18"/>
                <w14:textFill>
                  <w14:solidFill>
                    <w14:schemeClr w14:val="tx1"/>
                  </w14:solidFill>
                </w14:textFill>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color w:val="000000" w:themeColor="text1"/>
                <w:kern w:val="0"/>
                <w:sz w:val="18"/>
                <w:szCs w:val="18"/>
                <w14:textFill>
                  <w14:solidFill>
                    <w14:schemeClr w14:val="tx1"/>
                  </w14:solidFill>
                </w14:textFill>
              </w:rPr>
              <w:t>（网址：</w:t>
            </w:r>
            <w:r>
              <w:rPr>
                <w:rFonts w:ascii="宋体" w:hAnsi="宋体" w:cs="宋体"/>
                <w:bCs/>
                <w:color w:val="000000" w:themeColor="text1"/>
                <w:kern w:val="0"/>
                <w:sz w:val="18"/>
                <w:szCs w:val="18"/>
                <w14:textFill>
                  <w14:solidFill>
                    <w14:schemeClr w14:val="tx1"/>
                  </w14:solidFill>
                </w14:textFill>
              </w:rPr>
              <w:t>www.xjbank.com</w:t>
            </w:r>
            <w:r>
              <w:rPr>
                <w:rFonts w:hint="eastAsia" w:ascii="宋体" w:hAnsi="宋体" w:cs="宋体"/>
                <w:bCs/>
                <w:color w:val="000000" w:themeColor="text1"/>
                <w:kern w:val="0"/>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银行管理费率（年）</w:t>
            </w:r>
          </w:p>
        </w:tc>
        <w:tc>
          <w:tcPr>
            <w:tcW w:w="722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：根据理财本金，按日计算，在产品到期兑付时一次性收取，年化费率为【0.01】</w:t>
            </w:r>
            <w:r>
              <w:rPr>
                <w:rFonts w:ascii="宋体" w:hAnsi="宋体" w:cs="宋体"/>
                <w:bCs/>
                <w:kern w:val="0"/>
                <w:sz w:val="18"/>
                <w:szCs w:val="18"/>
              </w:rPr>
              <w:t>%</w:t>
            </w:r>
            <w:r>
              <w:rPr>
                <w:rFonts w:hint="eastAsia" w:ascii="宋体" w:hAnsi="宋体" w:cs="宋体"/>
                <w:bCs/>
                <w:kern w:val="0"/>
                <w:sz w:val="18"/>
                <w:szCs w:val="18"/>
              </w:rPr>
              <w:t>。</w:t>
            </w:r>
          </w:p>
          <w:p>
            <w:pPr>
              <w:ind w:right="-107" w:rightChars="-51"/>
              <w:rPr>
                <w:rFonts w:ascii="宋体" w:hAnsi="宋体"/>
                <w:bCs/>
                <w:sz w:val="18"/>
                <w:szCs w:val="18"/>
              </w:rPr>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14:textFill>
                  <w14:solidFill>
                    <w14:schemeClr w14:val="tx1"/>
                  </w14:solidFill>
                </w14:textFill>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bottom w:val="single" w:color="auto" w:sz="4" w:space="0"/>
            </w:tcBorders>
            <w:vAlign w:val="center"/>
          </w:tcPr>
          <w:p>
            <w:pPr>
              <w:jc w:val="center"/>
              <w:rPr>
                <w:rFonts w:ascii="宋体" w:hAnsi="宋体"/>
                <w:bCs/>
                <w:sz w:val="18"/>
                <w:szCs w:val="18"/>
              </w:rPr>
            </w:pPr>
            <w:r>
              <w:rPr>
                <w:rFonts w:hint="eastAsia" w:ascii="宋体" w:hAnsi="宋体"/>
                <w:bCs/>
                <w:sz w:val="18"/>
                <w:szCs w:val="18"/>
              </w:rPr>
              <w:t>理财产品参考年化收益率</w:t>
            </w:r>
          </w:p>
        </w:tc>
        <w:tc>
          <w:tcPr>
            <w:tcW w:w="7229" w:type="dxa"/>
            <w:tcBorders>
              <w:bottom w:val="single" w:color="auto" w:sz="4" w:space="0"/>
            </w:tcBorders>
          </w:tcPr>
          <w:p>
            <w:pPr>
              <w:ind w:right="-107" w:rightChars="-51"/>
              <w:rPr>
                <w:rFonts w:ascii="宋体" w:hAnsi="宋体"/>
                <w:bCs/>
                <w:sz w:val="18"/>
                <w:szCs w:val="18"/>
              </w:rPr>
            </w:pPr>
            <w:r>
              <w:rPr>
                <w:rFonts w:hint="eastAsia" w:ascii="宋体" w:hAnsi="宋体" w:cs="宋体"/>
                <w:b w:val="0"/>
                <w:bCs/>
                <w:kern w:val="0"/>
                <w:sz w:val="18"/>
                <w:szCs w:val="18"/>
              </w:rPr>
              <w:t>本产品的参考年化收益率</w:t>
            </w:r>
            <w:r>
              <w:rPr>
                <w:rFonts w:hint="eastAsia" w:ascii="宋体" w:hAnsi="宋体" w:cs="宋体"/>
                <w:b/>
                <w:bCs w:val="0"/>
                <w:color w:val="000000" w:themeColor="text1"/>
                <w:sz w:val="18"/>
                <w:szCs w:val="18"/>
                <w14:textFill>
                  <w14:solidFill>
                    <w14:schemeClr w14:val="tx1"/>
                  </w14:solidFill>
                </w14:textFill>
              </w:rPr>
              <w:t>【</w:t>
            </w:r>
            <w:r>
              <w:rPr>
                <w:rFonts w:hint="eastAsia" w:ascii="宋体" w:hAnsi="宋体" w:cs="宋体"/>
                <w:b/>
                <w:bCs w:val="0"/>
                <w:color w:val="000000" w:themeColor="text1"/>
                <w:sz w:val="18"/>
                <w:szCs w:val="18"/>
                <w:lang w:val="en-US" w:eastAsia="zh-CN"/>
                <w14:textFill>
                  <w14:solidFill>
                    <w14:schemeClr w14:val="tx1"/>
                  </w14:solidFill>
                </w14:textFill>
              </w:rPr>
              <w:t>3.8</w:t>
            </w:r>
            <w:r>
              <w:rPr>
                <w:rFonts w:hint="eastAsia" w:ascii="宋体" w:hAnsi="宋体" w:cs="宋体"/>
                <w:b/>
                <w:bCs w:val="0"/>
                <w:color w:val="000000" w:themeColor="text1"/>
                <w:sz w:val="18"/>
                <w:szCs w:val="18"/>
                <w14:textFill>
                  <w14:solidFill>
                    <w14:schemeClr w14:val="tx1"/>
                  </w14:solidFill>
                </w14:textFill>
              </w:rPr>
              <w:t>】</w:t>
            </w:r>
            <w:r>
              <w:rPr>
                <w:rFonts w:hint="eastAsia" w:ascii="宋体" w:hAnsi="宋体" w:cs="宋体"/>
                <w:b/>
                <w:bCs w:val="0"/>
                <w:sz w:val="18"/>
                <w:szCs w:val="18"/>
              </w:rPr>
              <w:t>％</w:t>
            </w:r>
            <w:r>
              <w:rPr>
                <w:rFonts w:hint="eastAsia" w:ascii="宋体" w:hAnsi="宋体" w:cs="宋体"/>
                <w:bCs/>
                <w:sz w:val="18"/>
                <w:szCs w:val="18"/>
              </w:rPr>
              <w:t>。</w:t>
            </w:r>
            <w:r>
              <w:rPr>
                <w:rFonts w:hint="eastAsia" w:ascii="宋体" w:hAnsi="宋体" w:cs="宋体"/>
                <w:bCs/>
                <w:kern w:val="0"/>
                <w:sz w:val="18"/>
                <w:szCs w:val="18"/>
              </w:rPr>
              <w:t>新疆银行将在产品的募集期开始前至少一个工作日公布本理财产品的参考年化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认购起点金额</w:t>
            </w:r>
          </w:p>
        </w:tc>
        <w:tc>
          <w:tcPr>
            <w:tcW w:w="7229" w:type="dxa"/>
          </w:tcPr>
          <w:p>
            <w:pPr>
              <w:rPr>
                <w:rFonts w:ascii="宋体" w:cs="宋体"/>
                <w:bCs/>
                <w:sz w:val="18"/>
                <w:szCs w:val="18"/>
              </w:rPr>
            </w:pPr>
            <w:r>
              <w:rPr>
                <w:rFonts w:hint="eastAsia" w:ascii="宋体" w:hAnsi="宋体" w:cs="宋体"/>
                <w:bCs/>
                <w:sz w:val="18"/>
                <w:szCs w:val="18"/>
              </w:rPr>
              <w:t>认购起点金额为1000万元；认购超出起点金额的部分以100万元的整数倍递增。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722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本产品最小起息金额1000万元。若产品销售结束时，募集的理财资金少于1000万元，本产品视为募集失败，不起息，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722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工作日</w:t>
            </w:r>
          </w:p>
        </w:tc>
        <w:tc>
          <w:tcPr>
            <w:tcW w:w="7229" w:type="dxa"/>
          </w:tcPr>
          <w:p>
            <w:pPr>
              <w:rPr>
                <w:rFonts w:ascii="宋体" w:hAnsi="宋体" w:eastAsia="楷体_GB2312"/>
                <w:bCs/>
                <w:sz w:val="18"/>
                <w:szCs w:val="18"/>
              </w:rPr>
            </w:pPr>
            <w:r>
              <w:rPr>
                <w:rFonts w:hint="eastAsia" w:ascii="宋体" w:hAnsi="宋体"/>
                <w:bCs/>
                <w:sz w:val="18"/>
                <w:szCs w:val="18"/>
              </w:rPr>
              <w:t>中国规定的法定工作日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收益计算方法</w:t>
            </w:r>
          </w:p>
        </w:tc>
        <w:tc>
          <w:tcPr>
            <w:tcW w:w="722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rPr>
                <w:rFonts w:ascii="宋体" w:hAnsi="宋体" w:eastAsia="楷体_GB2312"/>
                <w:bCs/>
                <w:sz w:val="18"/>
                <w:szCs w:val="18"/>
              </w:rPr>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对账单</w:t>
            </w:r>
          </w:p>
        </w:tc>
        <w:tc>
          <w:tcPr>
            <w:tcW w:w="7229" w:type="dxa"/>
            <w:vAlign w:val="center"/>
          </w:tcPr>
          <w:p>
            <w:pPr>
              <w:rPr>
                <w:rFonts w:ascii="宋体" w:hAnsi="宋体" w:eastAsia="楷体_GB2312"/>
                <w:bCs/>
                <w:sz w:val="18"/>
                <w:szCs w:val="18"/>
              </w:rPr>
            </w:pPr>
            <w:r>
              <w:rPr>
                <w:rFonts w:hint="eastAsia" w:ascii="宋体" w:hAnsi="宋体"/>
                <w:bCs/>
                <w:sz w:val="18"/>
                <w:szCs w:val="18"/>
              </w:rPr>
              <w:t>投资人同意通过新疆银行网站或相关营业网点及时了解相关信息公告。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560" w:type="dxa"/>
            <w:vAlign w:val="center"/>
          </w:tcPr>
          <w:p>
            <w:pPr>
              <w:jc w:val="center"/>
              <w:rPr>
                <w:rFonts w:ascii="宋体" w:hAnsi="宋体" w:eastAsia="楷体_GB2312"/>
                <w:bCs/>
                <w:sz w:val="18"/>
                <w:szCs w:val="18"/>
              </w:rPr>
            </w:pPr>
            <w:r>
              <w:rPr>
                <w:rFonts w:hint="eastAsia" w:ascii="宋体" w:hAnsi="宋体"/>
                <w:bCs/>
                <w:sz w:val="18"/>
                <w:szCs w:val="18"/>
              </w:rPr>
              <w:t>税款</w:t>
            </w:r>
          </w:p>
        </w:tc>
        <w:tc>
          <w:tcPr>
            <w:tcW w:w="7229" w:type="dxa"/>
            <w:vAlign w:val="center"/>
          </w:tcPr>
          <w:p>
            <w:pPr>
              <w:ind w:right="-107" w:rightChars="-51"/>
              <w:rPr>
                <w:rFonts w:ascii="宋体" w:hAnsi="宋体" w:eastAsia="楷体_GB2312"/>
                <w:bCs/>
                <w:sz w:val="18"/>
                <w:szCs w:val="18"/>
              </w:rPr>
            </w:pPr>
            <w:r>
              <w:rPr>
                <w:rFonts w:hint="eastAsia" w:ascii="宋体" w:hAnsi="宋体" w:cs="Times New Roman"/>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560" w:type="dxa"/>
            <w:vAlign w:val="center"/>
          </w:tcPr>
          <w:p>
            <w:pPr>
              <w:jc w:val="center"/>
              <w:rPr>
                <w:rFonts w:ascii="宋体" w:cs="宋体"/>
                <w:bCs/>
                <w:sz w:val="18"/>
                <w:szCs w:val="18"/>
              </w:rPr>
            </w:pPr>
            <w:r>
              <w:rPr>
                <w:rFonts w:hint="eastAsia" w:ascii="宋体" w:hAnsi="宋体" w:cs="宋体"/>
                <w:bCs/>
                <w:sz w:val="18"/>
                <w:szCs w:val="18"/>
              </w:rPr>
              <w:t>其他规定</w:t>
            </w:r>
          </w:p>
          <w:p>
            <w:pPr>
              <w:jc w:val="center"/>
              <w:rPr>
                <w:rFonts w:ascii="宋体" w:cs="宋体"/>
                <w:bCs/>
                <w:sz w:val="18"/>
                <w:szCs w:val="18"/>
              </w:rPr>
            </w:pPr>
          </w:p>
        </w:tc>
        <w:tc>
          <w:tcPr>
            <w:tcW w:w="7229" w:type="dxa"/>
          </w:tcPr>
          <w:p>
            <w:pPr>
              <w:widowControl/>
              <w:jc w:val="left"/>
            </w:pPr>
            <w:r>
              <w:rPr>
                <w:rFonts w:hint="eastAsia" w:ascii="宋体" w:hAnsi="宋体" w:cs="宋体"/>
                <w:bCs/>
                <w:kern w:val="0"/>
                <w:sz w:val="18"/>
                <w:szCs w:val="18"/>
              </w:rPr>
              <w:t>本理财产品认购后不得撤单。</w:t>
            </w:r>
          </w:p>
          <w:p>
            <w:pPr>
              <w:rPr>
                <w:rFonts w:ascii="宋体" w:cs="宋体"/>
                <w:bCs/>
                <w:sz w:val="18"/>
                <w:szCs w:val="18"/>
              </w:rPr>
            </w:pPr>
            <w:r>
              <w:rPr>
                <w:rFonts w:hint="eastAsia" w:ascii="宋体" w:hAnsi="宋体" w:cs="宋体"/>
                <w:kern w:val="0"/>
                <w:sz w:val="18"/>
                <w:szCs w:val="18"/>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60" w:type="dxa"/>
            <w:vAlign w:val="center"/>
          </w:tcPr>
          <w:p>
            <w:pPr>
              <w:jc w:val="center"/>
              <w:rPr>
                <w:rFonts w:ascii="宋体" w:cs="宋体"/>
                <w:bCs/>
                <w:sz w:val="18"/>
                <w:szCs w:val="18"/>
              </w:rPr>
            </w:pPr>
            <w:r>
              <w:rPr>
                <w:rFonts w:hint="eastAsia" w:ascii="宋体" w:hAnsi="宋体"/>
                <w:bCs/>
                <w:sz w:val="18"/>
                <w:szCs w:val="18"/>
                <w:lang w:val="en-US" w:eastAsia="zh-CN"/>
              </w:rPr>
              <w:t>托管银行</w:t>
            </w:r>
          </w:p>
        </w:tc>
        <w:tc>
          <w:tcPr>
            <w:tcW w:w="7229" w:type="dxa"/>
          </w:tcPr>
          <w:p>
            <w:pPr>
              <w:rPr>
                <w:rFonts w:hint="default" w:ascii="宋体" w:hAnsi="宋体" w:cs="宋体"/>
                <w:kern w:val="0"/>
                <w:sz w:val="18"/>
                <w:szCs w:val="18"/>
                <w:lang w:val="en-US"/>
              </w:rPr>
            </w:pPr>
            <w:r>
              <w:rPr>
                <w:rFonts w:hint="eastAsia" w:ascii="宋体" w:hAnsi="宋体"/>
                <w:bCs/>
                <w:sz w:val="18"/>
                <w:szCs w:val="18"/>
                <w:lang w:val="en-US" w:eastAsia="zh-CN"/>
              </w:rPr>
              <w:t>宁波银行股份有限公司。</w:t>
            </w:r>
          </w:p>
        </w:tc>
      </w:tr>
    </w:tbl>
    <w:p>
      <w:pPr>
        <w:spacing w:before="100" w:beforeAutospacing="1" w:line="280" w:lineRule="exact"/>
        <w:ind w:firstLine="361" w:firstLineChars="200"/>
        <w:rPr>
          <w:rFonts w:ascii="宋体" w:hAnsi="宋体"/>
          <w:b/>
          <w:bCs/>
          <w:sz w:val="18"/>
          <w:szCs w:val="18"/>
        </w:rPr>
      </w:pPr>
      <w:r>
        <w:rPr>
          <w:rFonts w:hint="eastAsia" w:ascii="宋体" w:hAnsi="宋体"/>
          <w:b/>
          <w:bCs/>
          <w:sz w:val="18"/>
          <w:szCs w:val="18"/>
        </w:rPr>
        <w:t>二、投资范围及投资管理</w:t>
      </w:r>
    </w:p>
    <w:p>
      <w:pPr>
        <w:spacing w:line="280" w:lineRule="exact"/>
        <w:ind w:firstLine="360" w:firstLineChars="200"/>
        <w:rPr>
          <w:rFonts w:ascii="宋体" w:hAnsi="宋体" w:cs="宋体"/>
          <w:bCs/>
          <w:sz w:val="18"/>
          <w:szCs w:val="18"/>
        </w:rPr>
      </w:pPr>
      <w:r>
        <w:rPr>
          <w:rFonts w:hint="eastAsia" w:ascii="宋体" w:hAnsi="宋体" w:cs="宋体"/>
          <w:bCs/>
          <w:sz w:val="18"/>
          <w:szCs w:val="18"/>
        </w:rPr>
        <w:t>1、投资范围</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本产品募集资金投资于现金类资产、货币市场工具、固定收益类资产和其他符合监管要求的资产，具体如下：</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（1）现金类资产：包括但不限于活期存款、定期存款、协议存款等；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（2）货币市场工具：包括但不限于质押式回购、买断式回购、交易所协议式回购等；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（3）货币市场基金；</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（4）固定收益类资产：包括但不限于国债、中央银行票据、同业存单、金融债、企业债、公司债、中期票据、短期融资券、超短期融资券、定向债务融资工具（PPN）、资产支持证券、资产支持票据(ABN）</w:t>
      </w:r>
      <w:r>
        <w:rPr>
          <w:rFonts w:hint="eastAsia" w:ascii="宋体" w:hAnsi="宋体" w:cs="Times New Roman"/>
          <w:bCs/>
          <w:sz w:val="18"/>
          <w:szCs w:val="18"/>
          <w:lang w:eastAsia="zh-CN"/>
        </w:rPr>
        <w:t>、</w:t>
      </w:r>
      <w:r>
        <w:rPr>
          <w:rFonts w:hint="eastAsia" w:ascii="宋体" w:hAnsi="宋体" w:cs="Times New Roman"/>
          <w:bCs/>
          <w:sz w:val="18"/>
          <w:szCs w:val="18"/>
          <w:lang w:val="en-US" w:eastAsia="zh-CN"/>
        </w:rPr>
        <w:t>同业借款</w:t>
      </w:r>
      <w:r>
        <w:rPr>
          <w:rFonts w:hint="eastAsia" w:ascii="宋体" w:hAnsi="宋体" w:cs="Times New Roman"/>
          <w:bCs/>
          <w:sz w:val="18"/>
          <w:szCs w:val="18"/>
        </w:rPr>
        <w:t>及底层资产为上述资产的各类资管计划、信托计划等；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（5）其他符合监管要求的资产；</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2、投资比例</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各类资产的投资比例为：现金类资产、货币市场工具、货币市场基金和固定收益类资产的比例为80%-100%；其他符合监管要求的资产0%-20%。</w:t>
      </w:r>
    </w:p>
    <w:p>
      <w:pPr>
        <w:widowControl/>
        <w:spacing w:line="280" w:lineRule="exact"/>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7"/>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spacing w:line="280" w:lineRule="exact"/>
        <w:ind w:firstLine="361" w:firstLineChars="200"/>
        <w:rPr>
          <w:rFonts w:ascii="宋体" w:cs="宋体"/>
          <w:b/>
          <w:bCs/>
          <w:sz w:val="18"/>
          <w:szCs w:val="18"/>
        </w:rPr>
      </w:pPr>
      <w:r>
        <w:rPr>
          <w:rFonts w:hint="eastAsia" w:ascii="宋体" w:hAnsi="宋体" w:cs="宋体"/>
          <w:b/>
          <w:bCs/>
          <w:sz w:val="18"/>
          <w:szCs w:val="18"/>
        </w:rPr>
        <w:t>三、理财产品费用及收益</w:t>
      </w:r>
    </w:p>
    <w:p>
      <w:pPr>
        <w:spacing w:line="280" w:lineRule="exact"/>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spacing w:line="280" w:lineRule="exact"/>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spacing w:line="280" w:lineRule="exact"/>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spacing w:line="280" w:lineRule="exact"/>
        <w:ind w:firstLine="361" w:firstLineChars="200"/>
        <w:rPr>
          <w:rFonts w:ascii="宋体" w:cs="宋体"/>
          <w:b/>
          <w:bCs/>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spacing w:line="280" w:lineRule="exact"/>
        <w:ind w:firstLine="361" w:firstLineChars="200"/>
        <w:rPr>
          <w:rFonts w:ascii="宋体" w:hAnsi="宋体"/>
          <w:b/>
          <w:bCs/>
          <w:sz w:val="18"/>
          <w:szCs w:val="18"/>
        </w:rPr>
      </w:pPr>
      <w:r>
        <w:rPr>
          <w:rFonts w:hint="eastAsia" w:ascii="宋体" w:hAnsi="宋体"/>
          <w:b/>
          <w:bCs/>
          <w:sz w:val="18"/>
          <w:szCs w:val="18"/>
        </w:rPr>
        <w:t xml:space="preserve">四、产品提前终止 </w:t>
      </w:r>
    </w:p>
    <w:p>
      <w:pPr>
        <w:widowControl/>
        <w:spacing w:line="280" w:lineRule="exact"/>
        <w:ind w:firstLine="360" w:firstLineChars="200"/>
        <w:jc w:val="left"/>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spacing w:line="280" w:lineRule="exact"/>
        <w:ind w:firstLine="360" w:firstLineChars="200"/>
        <w:rPr>
          <w:rFonts w:ascii="宋体" w:cs="宋体"/>
          <w:bCs/>
          <w:sz w:val="18"/>
          <w:szCs w:val="18"/>
        </w:rPr>
      </w:pPr>
      <w:r>
        <w:rPr>
          <w:rFonts w:hint="eastAsia" w:ascii="宋体" w:hAnsi="宋体" w:cs="宋体"/>
          <w:bCs/>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r>
        <w:rPr>
          <w:rFonts w:hint="eastAsia" w:ascii="宋体" w:hAnsi="宋体" w:cs="宋体"/>
          <w:bCs/>
          <w:sz w:val="18"/>
          <w:szCs w:val="18"/>
        </w:rPr>
        <w:t>。提前终止日后将客户理财资金及理财收益（如有）划入客户理财账户，划付信息</w:t>
      </w:r>
      <w:r>
        <w:rPr>
          <w:rFonts w:hint="eastAsia" w:ascii="宋体" w:hAnsi="宋体" w:cs="宋体"/>
          <w:bCs/>
          <w:kern w:val="0"/>
          <w:sz w:val="18"/>
          <w:szCs w:val="18"/>
        </w:rPr>
        <w:t>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、新疆银行官方微信或银行认为适当的其他方式、地点公布为准</w:t>
      </w:r>
      <w:r>
        <w:rPr>
          <w:rFonts w:hint="eastAsia" w:ascii="宋体" w:hAnsi="宋体" w:cs="宋体"/>
          <w:bCs/>
          <w:sz w:val="18"/>
          <w:szCs w:val="18"/>
        </w:rPr>
        <w:t>。提前终止日（含当日）至资金实际到账日之间，客户资金不计息。</w:t>
      </w:r>
    </w:p>
    <w:p>
      <w:pPr>
        <w:spacing w:line="280" w:lineRule="exact"/>
        <w:rPr>
          <w:rFonts w:ascii="宋体" w:hAnsi="宋体"/>
          <w:b/>
          <w:bCs/>
          <w:sz w:val="18"/>
          <w:szCs w:val="18"/>
        </w:rPr>
      </w:pPr>
      <w:r>
        <w:rPr>
          <w:rFonts w:hint="eastAsia" w:ascii="宋体" w:hAnsi="宋体"/>
          <w:b/>
          <w:bCs/>
          <w:sz w:val="18"/>
          <w:szCs w:val="18"/>
        </w:rPr>
        <w:t>五、信息披露</w:t>
      </w:r>
    </w:p>
    <w:p>
      <w:pPr>
        <w:widowControl/>
        <w:spacing w:line="280" w:lineRule="exact"/>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spacing w:line="280" w:lineRule="exact"/>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spacing w:line="280" w:lineRule="exact"/>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7"/>
          <w:rFonts w:hint="eastAsia" w:ascii="宋体" w:hAnsi="宋体" w:cs="宋体"/>
          <w:kern w:val="0"/>
          <w:sz w:val="18"/>
          <w:szCs w:val="18"/>
        </w:rPr>
        <w:t>该等披露，视为银行已向客户完全履行信息披露义务。客户承诺将及时接收、浏览和阅读该等信息。</w:t>
      </w:r>
    </w:p>
    <w:p>
      <w:pPr>
        <w:widowControl/>
        <w:spacing w:line="280" w:lineRule="exact"/>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、新疆银行官方微信或银行认为适当的其他方式、地点进行信息披露。</w:t>
      </w:r>
    </w:p>
    <w:p>
      <w:pPr>
        <w:widowControl/>
        <w:spacing w:line="280" w:lineRule="exact"/>
        <w:ind w:firstLine="361" w:firstLineChars="200"/>
        <w:jc w:val="left"/>
        <w:rPr>
          <w:rFonts w:ascii="宋体" w:hAnsi="宋体"/>
          <w:sz w:val="18"/>
          <w:szCs w:val="18"/>
        </w:rPr>
      </w:pPr>
      <w:r>
        <w:rPr>
          <w:rStyle w:val="7"/>
          <w:rFonts w:ascii="宋体" w:hAnsi="宋体" w:cs="宋体"/>
          <w:kern w:val="0"/>
          <w:sz w:val="18"/>
          <w:szCs w:val="18"/>
        </w:rPr>
        <w:t>5</w:t>
      </w:r>
      <w:r>
        <w:rPr>
          <w:rStyle w:val="7"/>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7"/>
          <w:rFonts w:ascii="宋体" w:hAnsi="宋体" w:cs="宋体"/>
          <w:kern w:val="0"/>
          <w:sz w:val="18"/>
          <w:szCs w:val="18"/>
        </w:rPr>
        <w:t>3</w:t>
      </w:r>
      <w:r>
        <w:rPr>
          <w:rStyle w:val="7"/>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7"/>
          <w:rFonts w:hint="eastAsia" w:ascii="宋体" w:hAnsi="宋体" w:cs="宋体"/>
          <w:kern w:val="0"/>
          <w:sz w:val="18"/>
          <w:szCs w:val="18"/>
        </w:rPr>
        <w:t>进行信息披露。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3C03"/>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28A3A52"/>
    <w:rsid w:val="07AE7BB0"/>
    <w:rsid w:val="08925AB8"/>
    <w:rsid w:val="0AED4477"/>
    <w:rsid w:val="0F0E3B8B"/>
    <w:rsid w:val="12550A6B"/>
    <w:rsid w:val="13AE2535"/>
    <w:rsid w:val="15B96882"/>
    <w:rsid w:val="168F5BB0"/>
    <w:rsid w:val="17675D35"/>
    <w:rsid w:val="17DC1D70"/>
    <w:rsid w:val="182F01EB"/>
    <w:rsid w:val="1A9374D7"/>
    <w:rsid w:val="1B26199A"/>
    <w:rsid w:val="1CA727BA"/>
    <w:rsid w:val="1CD04D66"/>
    <w:rsid w:val="1E7726C9"/>
    <w:rsid w:val="1FC34916"/>
    <w:rsid w:val="2001472C"/>
    <w:rsid w:val="23B045E7"/>
    <w:rsid w:val="23F15C62"/>
    <w:rsid w:val="24151614"/>
    <w:rsid w:val="2689459F"/>
    <w:rsid w:val="2A084E8A"/>
    <w:rsid w:val="2A3B7941"/>
    <w:rsid w:val="2A9459E2"/>
    <w:rsid w:val="2B6F3F89"/>
    <w:rsid w:val="2CF17068"/>
    <w:rsid w:val="30C807E2"/>
    <w:rsid w:val="31303FCF"/>
    <w:rsid w:val="36894E5A"/>
    <w:rsid w:val="370E382E"/>
    <w:rsid w:val="390D6901"/>
    <w:rsid w:val="3ADF4889"/>
    <w:rsid w:val="3C584FDD"/>
    <w:rsid w:val="3D30152B"/>
    <w:rsid w:val="3EBD7346"/>
    <w:rsid w:val="3F074514"/>
    <w:rsid w:val="3F1D28F5"/>
    <w:rsid w:val="3FD04EF3"/>
    <w:rsid w:val="42472634"/>
    <w:rsid w:val="42F06902"/>
    <w:rsid w:val="443C7DCE"/>
    <w:rsid w:val="44AC6C8B"/>
    <w:rsid w:val="450E2466"/>
    <w:rsid w:val="46D631DA"/>
    <w:rsid w:val="496958FC"/>
    <w:rsid w:val="4C6735CA"/>
    <w:rsid w:val="4D973281"/>
    <w:rsid w:val="4E6213C2"/>
    <w:rsid w:val="4FF26783"/>
    <w:rsid w:val="51336C13"/>
    <w:rsid w:val="54A43531"/>
    <w:rsid w:val="579E2434"/>
    <w:rsid w:val="57D7192E"/>
    <w:rsid w:val="59741125"/>
    <w:rsid w:val="5B0D5BF6"/>
    <w:rsid w:val="5DBE2C71"/>
    <w:rsid w:val="60F7653C"/>
    <w:rsid w:val="619B06D9"/>
    <w:rsid w:val="61F13F14"/>
    <w:rsid w:val="650A151A"/>
    <w:rsid w:val="66597BD2"/>
    <w:rsid w:val="66B240F6"/>
    <w:rsid w:val="69173C92"/>
    <w:rsid w:val="6B387C85"/>
    <w:rsid w:val="6BA60753"/>
    <w:rsid w:val="6C066DDD"/>
    <w:rsid w:val="70BC2EA8"/>
    <w:rsid w:val="71596F3D"/>
    <w:rsid w:val="72DF42AC"/>
    <w:rsid w:val="73911F59"/>
    <w:rsid w:val="73E31D87"/>
    <w:rsid w:val="74030D7B"/>
    <w:rsid w:val="74660FA1"/>
    <w:rsid w:val="74C910EC"/>
    <w:rsid w:val="76D26893"/>
    <w:rsid w:val="796608F8"/>
    <w:rsid w:val="7A0C1CB8"/>
    <w:rsid w:val="7AE4209F"/>
    <w:rsid w:val="7B0E5D4D"/>
    <w:rsid w:val="7B263878"/>
    <w:rsid w:val="7CA32596"/>
    <w:rsid w:val="7E5A6C99"/>
    <w:rsid w:val="7E766A40"/>
    <w:rsid w:val="7F727B28"/>
    <w:rsid w:val="7F9120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eastAsia="宋体"/>
      <w:sz w:val="18"/>
      <w:szCs w:val="18"/>
    </w:rPr>
  </w:style>
  <w:style w:type="character" w:customStyle="1" w:styleId="9">
    <w:name w:val="页脚 Char"/>
    <w:basedOn w:val="6"/>
    <w:link w:val="2"/>
    <w:semiHidden/>
    <w:qFormat/>
    <w:uiPriority w:val="99"/>
    <w:rPr>
      <w:rFonts w:ascii="Times New Roman" w:hAnsi="Times New Roman" w:eastAsia="宋体"/>
      <w:sz w:val="18"/>
      <w:szCs w:val="18"/>
    </w:rPr>
  </w:style>
  <w:style w:type="character" w:customStyle="1" w:styleId="10">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697</Words>
  <Characters>3973</Characters>
  <Lines>33</Lines>
  <Paragraphs>9</Paragraphs>
  <TotalTime>25</TotalTime>
  <ScaleCrop>false</ScaleCrop>
  <LinksUpToDate>false</LinksUpToDate>
  <CharactersWithSpaces>4661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曹旭红</cp:lastModifiedBy>
  <cp:lastPrinted>2020-11-23T07:32:00Z</cp:lastPrinted>
  <dcterms:modified xsi:type="dcterms:W3CDTF">2020-11-24T11:25:58Z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