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both"/>
        <w:rPr>
          <w:rStyle w:val="10"/>
          <w:rFonts w:cs="宋体"/>
          <w:kern w:val="0"/>
          <w:sz w:val="28"/>
          <w:szCs w:val="28"/>
        </w:rPr>
      </w:pPr>
    </w:p>
    <w:p>
      <w:pPr>
        <w:spacing w:line="360" w:lineRule="exact"/>
        <w:jc w:val="center"/>
        <w:rPr>
          <w:rStyle w:val="10"/>
          <w:rFonts w:hint="eastAsia" w:cs="宋体"/>
          <w:kern w:val="0"/>
          <w:sz w:val="28"/>
          <w:szCs w:val="28"/>
        </w:rPr>
      </w:pPr>
      <w:r>
        <w:rPr>
          <w:rStyle w:val="10"/>
          <w:rFonts w:hint="eastAsia" w:cs="宋体"/>
          <w:kern w:val="0"/>
          <w:sz w:val="28"/>
          <w:szCs w:val="28"/>
        </w:rPr>
        <w:t>新疆银行</w:t>
      </w:r>
      <w:r>
        <w:rPr>
          <w:rStyle w:val="10"/>
          <w:rFonts w:hint="eastAsia" w:cs="宋体"/>
          <w:kern w:val="0"/>
          <w:sz w:val="28"/>
          <w:szCs w:val="28"/>
          <w:lang w:eastAsia="zh-CN"/>
        </w:rPr>
        <w:t>金胡杨私募封闭式净值</w:t>
      </w:r>
      <w:r>
        <w:rPr>
          <w:rStyle w:val="10"/>
          <w:rFonts w:hint="eastAsia" w:cs="宋体"/>
          <w:kern w:val="0"/>
          <w:sz w:val="28"/>
          <w:szCs w:val="28"/>
        </w:rPr>
        <w:t>理财产品</w:t>
      </w:r>
      <w:bookmarkStart w:id="0" w:name="_GoBack"/>
      <w:bookmarkEnd w:id="0"/>
      <w:r>
        <w:rPr>
          <w:rStyle w:val="10"/>
          <w:rFonts w:hint="eastAsia" w:cs="宋体"/>
          <w:kern w:val="0"/>
          <w:sz w:val="28"/>
          <w:szCs w:val="28"/>
        </w:rPr>
        <w:t>客户权益须知</w:t>
      </w:r>
    </w:p>
    <w:p>
      <w:pPr>
        <w:widowControl/>
        <w:spacing w:line="400" w:lineRule="exact"/>
        <w:jc w:val="center"/>
        <w:rPr>
          <w:rStyle w:val="10"/>
          <w:rFonts w:hint="eastAsia" w:cs="宋体"/>
          <w:kern w:val="0"/>
          <w:sz w:val="28"/>
          <w:szCs w:val="28"/>
        </w:rPr>
      </w:pPr>
      <w:r>
        <w:rPr>
          <w:rStyle w:val="10"/>
          <w:rFonts w:hint="eastAsia" w:ascii="宋体" w:hAnsi="宋体" w:cs="宋体"/>
          <w:kern w:val="0"/>
          <w:sz w:val="18"/>
          <w:szCs w:val="18"/>
        </w:rPr>
        <w:t>理财产品过往业绩不代表其未来表现，不等于理财产品实际收益</w:t>
      </w:r>
    </w:p>
    <w:p>
      <w:pPr>
        <w:widowControl/>
        <w:spacing w:line="360" w:lineRule="exact"/>
        <w:jc w:val="center"/>
        <w:rPr>
          <w:rFonts w:ascii="宋体" w:hAnsi="宋体" w:cs="宋体"/>
          <w:bCs/>
          <w:kern w:val="0"/>
          <w:sz w:val="18"/>
          <w:szCs w:val="18"/>
        </w:rPr>
      </w:pPr>
      <w:r>
        <w:rPr>
          <w:rStyle w:val="10"/>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8"/>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numPr>
                <w:ilvl w:val="0"/>
                <w:numId w:val="0"/>
              </w:numPr>
              <w:spacing w:line="360" w:lineRule="exact"/>
              <w:ind w:firstLine="480" w:firstLineChars="200"/>
              <w:rPr>
                <w:rFonts w:hint="eastAsia" w:ascii="华文仿宋" w:hAnsi="华文仿宋" w:eastAsia="华文仿宋"/>
                <w:sz w:val="24"/>
                <w:szCs w:val="24"/>
              </w:rPr>
            </w:pPr>
            <w:r>
              <w:rPr>
                <w:rFonts w:hint="eastAsia" w:ascii="华文仿宋" w:hAnsi="华文仿宋" w:eastAsia="华文仿宋"/>
                <w:b/>
                <w:sz w:val="24"/>
                <w:szCs w:val="24"/>
                <w:lang w:val="en-US" w:eastAsia="zh-CN"/>
              </w:rPr>
              <w:t>1.</w:t>
            </w:r>
            <w:r>
              <w:rPr>
                <w:rFonts w:hint="eastAsia" w:ascii="华文仿宋" w:hAnsi="华文仿宋" w:eastAsia="华文仿宋"/>
                <w:b/>
                <w:sz w:val="24"/>
                <w:szCs w:val="24"/>
              </w:rPr>
              <w:t>开立借记卡：</w:t>
            </w:r>
            <w:r>
              <w:rPr>
                <w:rFonts w:hint="eastAsia" w:ascii="华文仿宋" w:hAnsi="华文仿宋" w:eastAsia="华文仿宋"/>
                <w:sz w:val="24"/>
                <w:szCs w:val="24"/>
              </w:rPr>
              <w:t>在新疆银行办理理财业务，个人投资者请先开立借记卡。</w:t>
            </w:r>
          </w:p>
          <w:p>
            <w:pPr>
              <w:numPr>
                <w:ilvl w:val="0"/>
                <w:numId w:val="0"/>
              </w:numPr>
              <w:spacing w:line="360" w:lineRule="exact"/>
              <w:ind w:firstLine="480" w:firstLineChars="200"/>
              <w:rPr>
                <w:rFonts w:hint="eastAsia" w:ascii="华文仿宋" w:hAnsi="华文仿宋" w:eastAsia="华文仿宋"/>
                <w:sz w:val="24"/>
                <w:szCs w:val="24"/>
              </w:rPr>
            </w:pPr>
            <w:r>
              <w:rPr>
                <w:rFonts w:hint="eastAsia" w:ascii="华文仿宋" w:hAnsi="华文仿宋" w:eastAsia="华文仿宋"/>
                <w:b/>
                <w:sz w:val="24"/>
                <w:szCs w:val="24"/>
                <w:lang w:val="en-US" w:eastAsia="zh-CN"/>
              </w:rPr>
              <w:t>2.</w:t>
            </w:r>
            <w:r>
              <w:rPr>
                <w:rFonts w:hint="eastAsia" w:ascii="华文仿宋" w:hAnsi="华文仿宋" w:eastAsia="华文仿宋"/>
                <w:b/>
                <w:sz w:val="24"/>
                <w:szCs w:val="24"/>
              </w:rPr>
              <w:t>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numPr>
                <w:ilvl w:val="0"/>
                <w:numId w:val="0"/>
              </w:numPr>
              <w:spacing w:line="360" w:lineRule="exact"/>
              <w:ind w:firstLine="480" w:firstLineChars="20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w:t>
            </w:r>
            <w:r>
              <w:rPr>
                <w:rFonts w:hint="eastAsia" w:ascii="华文仿宋" w:hAnsi="华文仿宋" w:eastAsia="华文仿宋"/>
                <w:sz w:val="24"/>
                <w:szCs w:val="24"/>
                <w:lang w:eastAsia="zh-CN"/>
              </w:rPr>
              <w:t>金胡杨私募封闭式净值型理财产品</w:t>
            </w:r>
            <w:r>
              <w:rPr>
                <w:rFonts w:hint="eastAsia" w:ascii="华文仿宋" w:hAnsi="华文仿宋" w:eastAsia="华文仿宋"/>
                <w:sz w:val="24"/>
                <w:szCs w:val="24"/>
              </w:rPr>
              <w:t>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numPr>
                <w:ilvl w:val="0"/>
                <w:numId w:val="0"/>
              </w:numPr>
              <w:spacing w:line="360" w:lineRule="exact"/>
              <w:ind w:firstLine="480" w:firstLineChars="200"/>
              <w:rPr>
                <w:rFonts w:hint="eastAsia" w:ascii="华文仿宋" w:hAnsi="华文仿宋" w:eastAsia="华文仿宋"/>
                <w:sz w:val="24"/>
                <w:szCs w:val="24"/>
              </w:rPr>
            </w:pPr>
            <w:r>
              <w:rPr>
                <w:rFonts w:hint="eastAsia" w:ascii="华文仿宋" w:hAnsi="华文仿宋" w:eastAsia="华文仿宋"/>
                <w:b/>
                <w:sz w:val="24"/>
                <w:szCs w:val="24"/>
                <w:lang w:val="en-US" w:eastAsia="zh-CN"/>
              </w:rPr>
              <w:t>5.</w:t>
            </w:r>
            <w:r>
              <w:rPr>
                <w:rFonts w:hint="eastAsia" w:ascii="华文仿宋" w:hAnsi="华文仿宋" w:eastAsia="华文仿宋"/>
                <w:b/>
                <w:sz w:val="24"/>
                <w:szCs w:val="24"/>
              </w:rPr>
              <w:t>查询：</w:t>
            </w:r>
            <w:r>
              <w:rPr>
                <w:rFonts w:hint="eastAsia" w:ascii="华文仿宋" w:hAnsi="华文仿宋" w:eastAsia="华文仿宋"/>
                <w:sz w:val="24"/>
                <w:szCs w:val="24"/>
              </w:rPr>
              <w:t>个人投资者凭本人有效证件及指定借记卡，可至网点查询理财产品持有情况、交易情况等。投资者还可至相应电子渠道，查询理财产品持有情况、交易情况等。</w:t>
            </w:r>
          </w:p>
          <w:p>
            <w:pPr>
              <w:numPr>
                <w:ilvl w:val="0"/>
                <w:numId w:val="0"/>
              </w:numPr>
              <w:spacing w:line="360" w:lineRule="exact"/>
              <w:ind w:firstLine="480" w:firstLineChars="200"/>
              <w:rPr>
                <w:rFonts w:hint="default" w:ascii="华文仿宋" w:hAnsi="华文仿宋" w:eastAsia="华文仿宋"/>
                <w:b/>
                <w:bCs w:val="0"/>
                <w:sz w:val="24"/>
                <w:szCs w:val="24"/>
                <w:highlight w:val="none"/>
                <w:lang w:val="en-US" w:eastAsia="zh-CN"/>
              </w:rPr>
            </w:pPr>
            <w:r>
              <w:rPr>
                <w:rFonts w:hint="eastAsia" w:ascii="华文仿宋" w:hAnsi="华文仿宋" w:eastAsia="华文仿宋"/>
                <w:b/>
                <w:sz w:val="24"/>
                <w:szCs w:val="24"/>
                <w:lang w:val="en-US" w:eastAsia="zh-CN"/>
              </w:rPr>
              <w:t>6.投资冷静期：</w:t>
            </w:r>
            <w:r>
              <w:rPr>
                <w:rFonts w:hint="eastAsia" w:ascii="华文仿宋" w:hAnsi="华文仿宋" w:eastAsia="华文仿宋"/>
                <w:b w:val="0"/>
                <w:bCs/>
                <w:sz w:val="24"/>
                <w:szCs w:val="24"/>
                <w:lang w:val="en-US" w:eastAsia="zh-CN"/>
              </w:rPr>
              <w:t>双方签订协议起二十五小时内，如您改变决定，需解除签订的销售协议，我行将及时退还您的全部投资款项，在此二十五小时之内即为投资冷静期</w:t>
            </w:r>
            <w:r>
              <w:rPr>
                <w:rFonts w:hint="eastAsia" w:ascii="华文仿宋" w:hAnsi="华文仿宋" w:eastAsia="华文仿宋"/>
                <w:b w:val="0"/>
                <w:bCs/>
                <w:sz w:val="24"/>
                <w:szCs w:val="24"/>
                <w:highlight w:val="none"/>
                <w:lang w:val="en-US" w:eastAsia="zh-CN"/>
              </w:rPr>
              <w:t>，投资冷静期截止时间为产品起息日前一日的19:00整。</w:t>
            </w:r>
          </w:p>
          <w:p>
            <w:pPr>
              <w:numPr>
                <w:ilvl w:val="0"/>
                <w:numId w:val="0"/>
              </w:numPr>
              <w:spacing w:line="360" w:lineRule="exact"/>
              <w:ind w:firstLine="480" w:firstLineChars="200"/>
              <w:rPr>
                <w:rFonts w:hint="eastAsia" w:ascii="华文仿宋" w:hAnsi="华文仿宋" w:eastAsia="华文仿宋"/>
                <w:sz w:val="24"/>
                <w:szCs w:val="24"/>
              </w:rPr>
            </w:pPr>
            <w:r>
              <w:rPr>
                <w:rFonts w:hint="eastAsia" w:ascii="华文仿宋" w:hAnsi="华文仿宋" w:eastAsia="华文仿宋"/>
                <w:b/>
                <w:sz w:val="24"/>
                <w:szCs w:val="24"/>
                <w:lang w:val="en-US" w:eastAsia="zh-CN"/>
              </w:rPr>
              <w:t>7.</w:t>
            </w:r>
            <w:r>
              <w:rPr>
                <w:rFonts w:hint="eastAsia" w:ascii="华文仿宋" w:hAnsi="华文仿宋" w:eastAsia="华文仿宋"/>
                <w:b/>
                <w:sz w:val="24"/>
                <w:szCs w:val="24"/>
              </w:rPr>
              <w:t>投资者在此保证：</w:t>
            </w:r>
            <w:r>
              <w:rPr>
                <w:rFonts w:hint="eastAsia" w:ascii="华文仿宋" w:hAnsi="华文仿宋" w:eastAsia="华文仿宋"/>
                <w:sz w:val="24"/>
                <w:szCs w:val="24"/>
              </w:rPr>
              <w:t>理财资金是其拥有合法处分权的资金</w:t>
            </w:r>
            <w:r>
              <w:rPr>
                <w:rFonts w:hint="eastAsia" w:ascii="华文仿宋" w:hAnsi="华文仿宋" w:eastAsia="华文仿宋"/>
                <w:sz w:val="24"/>
                <w:szCs w:val="24"/>
                <w:lang w:eastAsia="zh-CN"/>
              </w:rPr>
              <w:t>，</w:t>
            </w:r>
            <w:r>
              <w:rPr>
                <w:rFonts w:hint="eastAsia" w:ascii="华文仿宋" w:hAnsi="华文仿宋" w:eastAsia="华文仿宋"/>
                <w:sz w:val="24"/>
                <w:szCs w:val="24"/>
              </w:rPr>
              <w:t>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numPr>
                <w:ilvl w:val="0"/>
                <w:numId w:val="1"/>
              </w:numPr>
              <w:spacing w:line="360" w:lineRule="exact"/>
              <w:ind w:left="0" w:leftChars="0" w:firstLineChars="0"/>
              <w:rPr>
                <w:rFonts w:hint="eastAsia" w:ascii="华文仿宋" w:hAnsi="华文仿宋" w:eastAsia="华文仿宋"/>
                <w:sz w:val="24"/>
                <w:szCs w:val="24"/>
                <w:highlight w:val="none"/>
                <w:lang w:eastAsia="zh-CN"/>
              </w:rPr>
            </w:pPr>
            <w:r>
              <w:rPr>
                <w:rFonts w:hint="eastAsia" w:ascii="华文仿宋" w:hAnsi="华文仿宋" w:eastAsia="华文仿宋"/>
                <w:sz w:val="24"/>
                <w:szCs w:val="24"/>
                <w:highlight w:val="none"/>
                <w:lang w:eastAsia="zh-CN"/>
              </w:rPr>
              <w:t>合格投资者</w:t>
            </w:r>
          </w:p>
          <w:p>
            <w:pPr>
              <w:numPr>
                <w:ilvl w:val="0"/>
                <w:numId w:val="0"/>
              </w:numPr>
              <w:spacing w:line="360" w:lineRule="exact"/>
              <w:ind w:firstLine="480" w:firstLineChars="200"/>
              <w:rPr>
                <w:rFonts w:hint="eastAsia" w:ascii="华文仿宋" w:hAnsi="华文仿宋" w:eastAsia="华文仿宋"/>
                <w:sz w:val="24"/>
                <w:szCs w:val="24"/>
                <w:highlight w:val="none"/>
                <w:lang w:val="en-US" w:eastAsia="zh-CN"/>
              </w:rPr>
            </w:pPr>
            <w:r>
              <w:rPr>
                <w:rFonts w:hint="eastAsia" w:ascii="华文仿宋" w:hAnsi="华文仿宋" w:eastAsia="华文仿宋"/>
                <w:sz w:val="24"/>
                <w:szCs w:val="24"/>
                <w:highlight w:val="none"/>
                <w:lang w:val="en-US" w:eastAsia="zh-CN"/>
              </w:rPr>
              <w:t>1.本私募封闭式净值理财产品认购仅限合格投资者。</w:t>
            </w:r>
          </w:p>
          <w:p>
            <w:pPr>
              <w:numPr>
                <w:ilvl w:val="0"/>
                <w:numId w:val="0"/>
              </w:numPr>
              <w:spacing w:line="360" w:lineRule="exact"/>
              <w:ind w:firstLine="480" w:firstLineChars="200"/>
              <w:rPr>
                <w:rFonts w:hint="eastAsia" w:ascii="华文仿宋" w:hAnsi="华文仿宋" w:eastAsia="华文仿宋"/>
                <w:sz w:val="24"/>
                <w:szCs w:val="24"/>
                <w:highlight w:val="none"/>
                <w:lang w:val="en-US" w:eastAsia="zh-CN"/>
              </w:rPr>
            </w:pPr>
            <w:r>
              <w:rPr>
                <w:rFonts w:hint="eastAsia" w:ascii="华文仿宋" w:hAnsi="华文仿宋" w:eastAsia="华文仿宋"/>
                <w:sz w:val="24"/>
                <w:szCs w:val="24"/>
                <w:highlight w:val="none"/>
                <w:lang w:val="en-US" w:eastAsia="zh-CN"/>
              </w:rPr>
              <w:t>2.合格投资者认定需要本人至银行网点进行。</w:t>
            </w:r>
          </w:p>
          <w:p>
            <w:pPr>
              <w:numPr>
                <w:ilvl w:val="0"/>
                <w:numId w:val="0"/>
              </w:numPr>
              <w:spacing w:line="360" w:lineRule="exact"/>
              <w:ind w:left="480" w:leftChars="0"/>
              <w:rPr>
                <w:rFonts w:hint="eastAsia" w:ascii="华文仿宋" w:hAnsi="华文仿宋" w:eastAsia="华文仿宋"/>
                <w:sz w:val="24"/>
                <w:szCs w:val="24"/>
                <w:highlight w:val="none"/>
                <w:lang w:val="en-US" w:eastAsia="zh-CN"/>
              </w:rPr>
            </w:pPr>
            <w:r>
              <w:rPr>
                <w:rFonts w:hint="eastAsia" w:ascii="华文仿宋" w:hAnsi="华文仿宋" w:eastAsia="华文仿宋"/>
                <w:sz w:val="24"/>
                <w:szCs w:val="24"/>
                <w:highlight w:val="none"/>
                <w:lang w:val="en-US" w:eastAsia="zh-CN"/>
              </w:rPr>
              <w:t>3.合格投资者要求具有相应风险识别能力和风险承受能力，投资于单只理财产品不低于该产品的最低购买金额，且符合下列条件的自然人：</w:t>
            </w:r>
          </w:p>
          <w:p>
            <w:pPr>
              <w:numPr>
                <w:ilvl w:val="0"/>
                <w:numId w:val="0"/>
              </w:numPr>
              <w:spacing w:line="360" w:lineRule="exact"/>
              <w:ind w:firstLine="480" w:firstLineChars="200"/>
              <w:rPr>
                <w:rFonts w:hint="eastAsia" w:ascii="华文仿宋" w:hAnsi="华文仿宋" w:eastAsia="华文仿宋"/>
                <w:sz w:val="24"/>
                <w:szCs w:val="24"/>
                <w:highlight w:val="none"/>
                <w:lang w:val="en-US" w:eastAsia="zh-CN"/>
              </w:rPr>
            </w:pPr>
            <w:r>
              <w:rPr>
                <w:rFonts w:hint="eastAsia" w:ascii="华文仿宋" w:hAnsi="华文仿宋" w:eastAsia="华文仿宋"/>
                <w:sz w:val="24"/>
                <w:szCs w:val="24"/>
                <w:highlight w:val="none"/>
                <w:lang w:val="en-US" w:eastAsia="zh-CN"/>
              </w:rPr>
              <w:t>具有2年以上投资经历，且满足家庭金融净资产不低于300万元人民币，或者家庭金融资产不低于500万元人民币，或者近3年本人年均收入不低于40万元人民币；</w:t>
            </w:r>
          </w:p>
          <w:p>
            <w:pPr>
              <w:numPr>
                <w:ilvl w:val="0"/>
                <w:numId w:val="1"/>
              </w:numPr>
              <w:spacing w:line="360" w:lineRule="exact"/>
              <w:ind w:left="0" w:leftChars="0" w:firstLineChars="0"/>
              <w:rPr>
                <w:rFonts w:hint="eastAsia" w:ascii="华文仿宋" w:hAnsi="华文仿宋" w:eastAsia="华文仿宋"/>
                <w:sz w:val="24"/>
                <w:szCs w:val="24"/>
              </w:rPr>
            </w:pPr>
            <w:r>
              <w:rPr>
                <w:rFonts w:hint="eastAsia" w:ascii="华文仿宋" w:hAnsi="华文仿宋" w:eastAsia="华文仿宋"/>
                <w:sz w:val="24"/>
                <w:szCs w:val="24"/>
                <w:lang w:eastAsia="zh-CN"/>
              </w:rPr>
              <w:t>风险承受能力评估</w:t>
            </w:r>
          </w:p>
          <w:p>
            <w:pPr>
              <w:numPr>
                <w:ilvl w:val="0"/>
                <w:numId w:val="0"/>
              </w:numPr>
              <w:spacing w:line="360" w:lineRule="exact"/>
              <w:ind w:firstLine="480" w:firstLineChars="200"/>
              <w:rPr>
                <w:rFonts w:hint="eastAsia" w:ascii="华文仿宋" w:hAnsi="华文仿宋" w:eastAsia="华文仿宋"/>
                <w:sz w:val="24"/>
                <w:szCs w:val="24"/>
              </w:rPr>
            </w:pPr>
            <w:r>
              <w:rPr>
                <w:rFonts w:hint="eastAsia" w:ascii="华文仿宋" w:hAnsi="华文仿宋" w:eastAsia="华文仿宋"/>
                <w:sz w:val="24"/>
                <w:szCs w:val="24"/>
                <w:lang w:val="en-US" w:eastAsia="zh-CN"/>
              </w:rPr>
              <w:t>1.</w:t>
            </w:r>
            <w:r>
              <w:rPr>
                <w:rFonts w:hint="eastAsia" w:ascii="华文仿宋" w:hAnsi="华文仿宋" w:eastAsia="华文仿宋"/>
                <w:sz w:val="24"/>
                <w:szCs w:val="24"/>
              </w:rPr>
              <w:t>首次进行风险承受能力评估，须在</w:t>
            </w:r>
            <w:r>
              <w:rPr>
                <w:rFonts w:hint="eastAsia" w:ascii="华文仿宋" w:hAnsi="华文仿宋" w:eastAsia="华文仿宋"/>
                <w:sz w:val="24"/>
                <w:szCs w:val="24"/>
                <w:lang w:eastAsia="zh-CN"/>
              </w:rPr>
              <w:t>我行</w:t>
            </w:r>
            <w:r>
              <w:rPr>
                <w:rFonts w:hint="eastAsia" w:ascii="华文仿宋" w:hAnsi="华文仿宋" w:eastAsia="华文仿宋"/>
                <w:sz w:val="24"/>
                <w:szCs w:val="24"/>
              </w:rPr>
              <w:t>网点进行。</w:t>
            </w:r>
          </w:p>
          <w:p>
            <w:pPr>
              <w:numPr>
                <w:ilvl w:val="0"/>
                <w:numId w:val="0"/>
              </w:numPr>
              <w:spacing w:line="360" w:lineRule="exact"/>
              <w:ind w:firstLine="480" w:firstLineChars="200"/>
              <w:rPr>
                <w:rFonts w:hint="eastAsia" w:cs="宋体" w:asciiTheme="minorEastAsia" w:hAnsiTheme="minorEastAsia" w:eastAsiaTheme="minorEastAsia"/>
                <w:kern w:val="0"/>
                <w:sz w:val="18"/>
                <w:szCs w:val="18"/>
                <w:lang w:eastAsia="zh-CN"/>
              </w:rPr>
            </w:pPr>
            <w:r>
              <w:rPr>
                <w:rFonts w:hint="eastAsia" w:ascii="华文仿宋" w:hAnsi="华文仿宋" w:eastAsia="华文仿宋"/>
                <w:sz w:val="24"/>
                <w:szCs w:val="24"/>
                <w:lang w:val="en-US" w:eastAsia="zh-CN"/>
              </w:rPr>
              <w:t>2.</w:t>
            </w:r>
            <w:r>
              <w:rPr>
                <w:rFonts w:hint="eastAsia" w:ascii="华文仿宋" w:hAnsi="华文仿宋" w:eastAsia="华文仿宋"/>
                <w:sz w:val="24"/>
                <w:szCs w:val="24"/>
              </w:rPr>
              <w:t>超过一年未进行风险承受能力评估，再次购买理财产品须在各营业网点或适用的电子渠道完成风险承受能力评估。</w:t>
            </w:r>
          </w:p>
          <w:p>
            <w:pPr>
              <w:numPr>
                <w:ilvl w:val="0"/>
                <w:numId w:val="0"/>
              </w:num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lang w:val="en-US" w:eastAsia="zh-CN"/>
              </w:rPr>
              <w:t>3.</w:t>
            </w:r>
            <w:r>
              <w:rPr>
                <w:rFonts w:hint="eastAsia" w:ascii="华文仿宋" w:hAnsi="华文仿宋" w:eastAsia="华文仿宋"/>
                <w:sz w:val="24"/>
                <w:szCs w:val="24"/>
              </w:rPr>
              <w:t>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lang w:val="en-US" w:eastAsia="zh-CN"/>
              </w:rPr>
              <w:t>4.</w:t>
            </w:r>
            <w:r>
              <w:rPr>
                <w:rFonts w:hint="eastAsia" w:ascii="华文仿宋" w:hAnsi="华文仿宋" w:eastAsia="华文仿宋"/>
                <w:sz w:val="24"/>
                <w:szCs w:val="24"/>
              </w:rPr>
              <w:t>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hint="eastAsia" w:ascii="华文仿宋" w:hAnsi="华文仿宋" w:eastAsia="华文仿宋"/>
                <w:sz w:val="24"/>
                <w:szCs w:val="24"/>
                <w:lang w:val="en-US" w:eastAsia="zh-CN"/>
              </w:rPr>
            </w:pPr>
            <w:r>
              <w:rPr>
                <w:rFonts w:hint="eastAsia" w:ascii="华文仿宋" w:hAnsi="华文仿宋" w:eastAsia="华文仿宋"/>
                <w:b/>
                <w:sz w:val="24"/>
                <w:szCs w:val="24"/>
              </w:rPr>
              <w:t>三.产品风险</w:t>
            </w:r>
            <w:r>
              <w:rPr>
                <w:rFonts w:hint="eastAsia" w:ascii="华文仿宋" w:hAnsi="华文仿宋" w:eastAsia="华文仿宋"/>
                <w:b/>
                <w:sz w:val="24"/>
                <w:szCs w:val="24"/>
                <w:lang w:eastAsia="zh-CN"/>
              </w:rPr>
              <w:t>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7"/>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134" w:right="1080" w:bottom="1134"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jc w:val="both"/>
    </w:pPr>
  </w:p>
  <w:p>
    <w:pPr>
      <w:pStyle w:val="6"/>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A6C92B"/>
    <w:multiLevelType w:val="singleLevel"/>
    <w:tmpl w:val="46A6C92B"/>
    <w:lvl w:ilvl="0" w:tentative="0">
      <w:start w:val="1"/>
      <w:numFmt w:val="chineseCounting"/>
      <w:suff w:val="nothing"/>
      <w:lvlText w:val="（%1）"/>
      <w:lvlJc w:val="left"/>
      <w:pPr>
        <w:ind w:left="-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39C"/>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3BAF"/>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2021DFC"/>
    <w:rsid w:val="0486734C"/>
    <w:rsid w:val="0B894B9A"/>
    <w:rsid w:val="0F043383"/>
    <w:rsid w:val="11DE4A82"/>
    <w:rsid w:val="142F3270"/>
    <w:rsid w:val="14585534"/>
    <w:rsid w:val="158878FE"/>
    <w:rsid w:val="16BA68A7"/>
    <w:rsid w:val="196D1597"/>
    <w:rsid w:val="1B3B6406"/>
    <w:rsid w:val="1B9368C9"/>
    <w:rsid w:val="258969D0"/>
    <w:rsid w:val="28291C81"/>
    <w:rsid w:val="29D8161E"/>
    <w:rsid w:val="2FC84056"/>
    <w:rsid w:val="30DC4C83"/>
    <w:rsid w:val="31A15A39"/>
    <w:rsid w:val="35060C5F"/>
    <w:rsid w:val="35A9467C"/>
    <w:rsid w:val="3A2903D5"/>
    <w:rsid w:val="3A911203"/>
    <w:rsid w:val="3D440557"/>
    <w:rsid w:val="3E7F279C"/>
    <w:rsid w:val="3FB12C5C"/>
    <w:rsid w:val="3FBA6765"/>
    <w:rsid w:val="4148625A"/>
    <w:rsid w:val="43A52D5C"/>
    <w:rsid w:val="44DB0056"/>
    <w:rsid w:val="471C5FAE"/>
    <w:rsid w:val="4E54026B"/>
    <w:rsid w:val="4FF40162"/>
    <w:rsid w:val="510703CD"/>
    <w:rsid w:val="525D228F"/>
    <w:rsid w:val="545926D0"/>
    <w:rsid w:val="557968B2"/>
    <w:rsid w:val="56295ECB"/>
    <w:rsid w:val="5BDF0791"/>
    <w:rsid w:val="6029617B"/>
    <w:rsid w:val="63C95391"/>
    <w:rsid w:val="63CA1F0A"/>
    <w:rsid w:val="65884D79"/>
    <w:rsid w:val="682863FC"/>
    <w:rsid w:val="68450F27"/>
    <w:rsid w:val="69C322C4"/>
    <w:rsid w:val="6A4C3B69"/>
    <w:rsid w:val="6B44408A"/>
    <w:rsid w:val="6B4C2CA0"/>
    <w:rsid w:val="6E7B64E0"/>
    <w:rsid w:val="6FD510B1"/>
    <w:rsid w:val="72701812"/>
    <w:rsid w:val="72EE1FFF"/>
    <w:rsid w:val="74C02AED"/>
    <w:rsid w:val="7583671C"/>
    <w:rsid w:val="75D57B9F"/>
    <w:rsid w:val="78506906"/>
    <w:rsid w:val="78691EF8"/>
    <w:rsid w:val="79DA5189"/>
    <w:rsid w:val="7DF46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alloon Text"/>
    <w:basedOn w:val="1"/>
    <w:link w:val="11"/>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Strong"/>
    <w:basedOn w:val="9"/>
    <w:qFormat/>
    <w:uiPriority w:val="99"/>
    <w:rPr>
      <w:rFonts w:cs="Times New Roman"/>
      <w:b/>
      <w:bCs/>
    </w:rPr>
  </w:style>
  <w:style w:type="character" w:customStyle="1" w:styleId="11">
    <w:name w:val="批注框文本 Char"/>
    <w:basedOn w:val="9"/>
    <w:link w:val="4"/>
    <w:semiHidden/>
    <w:qFormat/>
    <w:uiPriority w:val="99"/>
    <w:rPr>
      <w:sz w:val="18"/>
      <w:szCs w:val="18"/>
    </w:rPr>
  </w:style>
  <w:style w:type="character" w:customStyle="1" w:styleId="12">
    <w:name w:val="页眉 Char"/>
    <w:basedOn w:val="9"/>
    <w:link w:val="6"/>
    <w:qFormat/>
    <w:uiPriority w:val="99"/>
    <w:rPr>
      <w:sz w:val="18"/>
      <w:szCs w:val="18"/>
    </w:rPr>
  </w:style>
  <w:style w:type="character" w:customStyle="1" w:styleId="13">
    <w:name w:val="页脚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20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2019-08-07T03:40:00Z</cp:lastPrinted>
  <dcterms:modified xsi:type="dcterms:W3CDTF">2020-11-11T04:36:30Z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