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10"/>
          <w:rFonts w:hint="eastAsia" w:ascii="黑体" w:hAnsi="黑体" w:eastAsia="黑体" w:cs="宋体"/>
          <w:kern w:val="0"/>
          <w:sz w:val="28"/>
          <w:szCs w:val="28"/>
        </w:rPr>
      </w:pPr>
      <w:bookmarkStart w:id="0" w:name="_GoBack"/>
      <w:bookmarkEnd w:id="0"/>
      <w:r>
        <w:rPr>
          <w:rStyle w:val="10"/>
          <w:rFonts w:hint="eastAsia" w:ascii="黑体" w:hAnsi="黑体" w:eastAsia="黑体" w:cs="宋体"/>
          <w:kern w:val="0"/>
          <w:sz w:val="28"/>
          <w:szCs w:val="28"/>
        </w:rPr>
        <w:t>新疆银行</w:t>
      </w:r>
      <w:r>
        <w:rPr>
          <w:rStyle w:val="10"/>
          <w:rFonts w:hint="eastAsia" w:ascii="黑体" w:hAnsi="黑体" w:eastAsia="黑体" w:cs="宋体"/>
          <w:kern w:val="0"/>
          <w:sz w:val="28"/>
          <w:szCs w:val="28"/>
          <w:lang w:eastAsia="zh-CN"/>
        </w:rPr>
        <w:t>金胡杨私募封闭式净值</w:t>
      </w:r>
      <w:r>
        <w:rPr>
          <w:rStyle w:val="10"/>
          <w:rFonts w:hint="eastAsia" w:ascii="黑体" w:hAnsi="黑体" w:eastAsia="黑体" w:cs="宋体"/>
          <w:kern w:val="0"/>
          <w:sz w:val="28"/>
          <w:szCs w:val="28"/>
        </w:rPr>
        <w:t>理财产品说明书</w:t>
      </w:r>
    </w:p>
    <w:p>
      <w:pPr>
        <w:widowControl/>
        <w:spacing w:line="400" w:lineRule="exact"/>
        <w:jc w:val="center"/>
        <w:rPr>
          <w:rStyle w:val="10"/>
          <w:rFonts w:hint="eastAsia" w:ascii="黑体" w:hAnsi="黑体" w:eastAsia="黑体" w:cs="宋体"/>
          <w:b w:val="0"/>
          <w:kern w:val="0"/>
          <w:sz w:val="28"/>
          <w:szCs w:val="28"/>
        </w:rPr>
      </w:pPr>
      <w:r>
        <w:rPr>
          <w:rStyle w:val="10"/>
          <w:rFonts w:hint="eastAsia" w:ascii="宋体" w:hAnsi="宋体" w:cs="宋体"/>
          <w:kern w:val="0"/>
          <w:sz w:val="18"/>
          <w:szCs w:val="18"/>
        </w:rPr>
        <w:t>理财产品过往业绩不代表其未来表现，不等于理财产品实际收益</w:t>
      </w:r>
    </w:p>
    <w:p>
      <w:pPr>
        <w:spacing w:line="400" w:lineRule="exact"/>
        <w:jc w:val="center"/>
        <w:rPr>
          <w:rStyle w:val="10"/>
          <w:rFonts w:ascii="宋体" w:hAnsi="宋体" w:cs="宋体"/>
          <w:kern w:val="0"/>
          <w:sz w:val="18"/>
          <w:szCs w:val="18"/>
        </w:rPr>
      </w:pPr>
      <w:r>
        <w:rPr>
          <w:rStyle w:val="10"/>
          <w:rFonts w:hint="eastAsia" w:ascii="宋体" w:hAnsi="宋体" w:cs="宋体"/>
          <w:kern w:val="0"/>
          <w:sz w:val="18"/>
          <w:szCs w:val="18"/>
        </w:rPr>
        <w:t>理财非存款、产品有风险、投资须谨慎</w:t>
      </w:r>
    </w:p>
    <w:p>
      <w:pPr>
        <w:spacing w:line="400" w:lineRule="exact"/>
        <w:rPr>
          <w:rStyle w:val="10"/>
          <w:rFonts w:ascii="华文仿宋" w:hAnsi="华文仿宋" w:eastAsia="华文仿宋" w:cs="华文仿宋"/>
          <w:kern w:val="0"/>
          <w:sz w:val="24"/>
          <w:szCs w:val="24"/>
        </w:rPr>
      </w:pPr>
      <w:r>
        <w:rPr>
          <w:rStyle w:val="10"/>
          <w:rFonts w:hint="eastAsia" w:ascii="华文仿宋" w:hAnsi="华文仿宋" w:eastAsia="华文仿宋" w:cs="华文仿宋"/>
          <w:kern w:val="0"/>
          <w:sz w:val="24"/>
          <w:szCs w:val="24"/>
        </w:rPr>
        <w:t>重要须知：</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一、本说明书是《新疆银行</w:t>
      </w:r>
      <w:r>
        <w:rPr>
          <w:rFonts w:hint="eastAsia" w:ascii="华文仿宋" w:hAnsi="华文仿宋" w:eastAsia="华文仿宋" w:cs="华文仿宋"/>
          <w:color w:val="000000" w:themeColor="text1"/>
          <w:sz w:val="24"/>
          <w:szCs w:val="24"/>
          <w:lang w:eastAsia="zh-CN"/>
          <w14:textFill>
            <w14:solidFill>
              <w14:schemeClr w14:val="tx1"/>
            </w14:solidFill>
          </w14:textFill>
        </w:rPr>
        <w:t>金胡杨私募封闭式净值</w:t>
      </w:r>
      <w:r>
        <w:rPr>
          <w:rFonts w:hint="eastAsia" w:ascii="华文仿宋" w:hAnsi="华文仿宋" w:eastAsia="华文仿宋" w:cs="华文仿宋"/>
          <w:color w:val="000000" w:themeColor="text1"/>
          <w:sz w:val="24"/>
          <w:szCs w:val="24"/>
          <w14:textFill>
            <w14:solidFill>
              <w14:schemeClr w14:val="tx1"/>
            </w14:solidFill>
          </w14:textFill>
        </w:rPr>
        <w:t>理财产品协议书》不可分割之部分。</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二、本产品为固定收益类</w:t>
      </w:r>
      <w:r>
        <w:rPr>
          <w:rFonts w:hint="eastAsia" w:ascii="华文仿宋" w:hAnsi="华文仿宋" w:eastAsia="华文仿宋" w:cs="华文仿宋"/>
          <w:color w:val="000000" w:themeColor="text1"/>
          <w:sz w:val="24"/>
          <w:szCs w:val="24"/>
          <w:lang w:eastAsia="zh-CN"/>
          <w14:textFill>
            <w14:solidFill>
              <w14:schemeClr w14:val="tx1"/>
            </w14:solidFill>
          </w14:textFill>
        </w:rPr>
        <w:t>私募封闭式</w:t>
      </w:r>
      <w:r>
        <w:rPr>
          <w:rFonts w:hint="eastAsia" w:ascii="华文仿宋" w:hAnsi="华文仿宋" w:eastAsia="华文仿宋" w:cs="华文仿宋"/>
          <w:color w:val="000000" w:themeColor="text1"/>
          <w:sz w:val="24"/>
          <w:szCs w:val="24"/>
          <w14:textFill>
            <w14:solidFill>
              <w14:schemeClr w14:val="tx1"/>
            </w14:solidFill>
          </w14:textFill>
        </w:rPr>
        <w:t>净值理财产品，无预期收益率，不保证本金和收益，可能因市场变动而损失部分或全部的本金及收益，请您充分认识投资风险，谨慎投资。</w:t>
      </w:r>
    </w:p>
    <w:p>
      <w:pPr>
        <w:spacing w:line="400" w:lineRule="exact"/>
        <w:jc w:val="left"/>
        <w:rPr>
          <w:rFonts w:ascii="华文仿宋" w:hAnsi="华文仿宋" w:eastAsia="华文仿宋" w:cs="华文仿宋"/>
          <w:color w:val="000000" w:themeColor="text1"/>
          <w:sz w:val="24"/>
          <w:szCs w:val="24"/>
          <w:highlight w:val="none"/>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三、</w:t>
      </w:r>
      <w:r>
        <w:rPr>
          <w:rFonts w:hint="eastAsia" w:ascii="华文仿宋" w:hAnsi="华文仿宋" w:eastAsia="华文仿宋" w:cs="华文仿宋"/>
          <w:color w:val="000000" w:themeColor="text1"/>
          <w:sz w:val="24"/>
          <w:szCs w:val="24"/>
          <w:lang w:eastAsia="zh-CN"/>
          <w14:textFill>
            <w14:solidFill>
              <w14:schemeClr w14:val="tx1"/>
            </w14:solidFill>
          </w14:textFill>
        </w:rPr>
        <w:t>本理财产品</w:t>
      </w:r>
      <w:r>
        <w:rPr>
          <w:rFonts w:hint="eastAsia" w:ascii="华文仿宋" w:hAnsi="华文仿宋" w:eastAsia="华文仿宋" w:cs="华文仿宋"/>
          <w:color w:val="000000" w:themeColor="text1"/>
          <w:sz w:val="24"/>
          <w:szCs w:val="24"/>
          <w14:textFill>
            <w14:solidFill>
              <w14:schemeClr w14:val="tx1"/>
            </w14:solidFill>
          </w14:textFill>
        </w:rPr>
        <w:t>内部风险评级为R</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3平衡</w:t>
      </w:r>
      <w:r>
        <w:rPr>
          <w:rFonts w:hint="eastAsia" w:ascii="华文仿宋" w:hAnsi="华文仿宋" w:eastAsia="华文仿宋" w:cs="华文仿宋"/>
          <w:color w:val="000000" w:themeColor="text1"/>
          <w:sz w:val="24"/>
          <w:szCs w:val="24"/>
          <w14:textFill>
            <w14:solidFill>
              <w14:schemeClr w14:val="tx1"/>
            </w14:solidFill>
          </w14:textFill>
        </w:rPr>
        <w:t>型（中</w:t>
      </w:r>
      <w:r>
        <w:rPr>
          <w:rFonts w:hint="eastAsia" w:ascii="华文仿宋" w:hAnsi="华文仿宋" w:eastAsia="华文仿宋" w:cs="华文仿宋"/>
          <w:color w:val="000000" w:themeColor="text1"/>
          <w:sz w:val="24"/>
          <w:szCs w:val="24"/>
          <w:lang w:eastAsia="zh-CN"/>
          <w14:textFill>
            <w14:solidFill>
              <w14:schemeClr w14:val="tx1"/>
            </w14:solidFill>
          </w14:textFill>
        </w:rPr>
        <w:t>等</w:t>
      </w:r>
      <w:r>
        <w:rPr>
          <w:rFonts w:hint="eastAsia" w:ascii="华文仿宋" w:hAnsi="华文仿宋" w:eastAsia="华文仿宋" w:cs="华文仿宋"/>
          <w:color w:val="000000" w:themeColor="text1"/>
          <w:sz w:val="24"/>
          <w:szCs w:val="24"/>
          <w14:textFill>
            <w14:solidFill>
              <w14:schemeClr w14:val="tx1"/>
            </w14:solidFill>
          </w14:textFill>
        </w:rPr>
        <w:t>风险)</w:t>
      </w:r>
      <w:r>
        <w:rPr>
          <w:rFonts w:hint="eastAsia" w:ascii="华文仿宋" w:hAnsi="华文仿宋" w:eastAsia="华文仿宋" w:cs="华文仿宋"/>
          <w:color w:val="000000" w:themeColor="text1"/>
          <w:sz w:val="24"/>
          <w:szCs w:val="24"/>
          <w:highlight w:val="none"/>
          <w14:textFill>
            <w14:solidFill>
              <w14:schemeClr w14:val="tx1"/>
            </w14:solidFill>
          </w14:textFill>
        </w:rPr>
        <w:t>，适合具有一定风险承受能力的投资者购买。</w:t>
      </w:r>
    </w:p>
    <w:p>
      <w:pPr>
        <w:spacing w:line="400" w:lineRule="exact"/>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 xml:space="preserve">    四、新疆银行股份有限公司（以下简称“新疆银行”)郑重提示：在购买理财产品前，投资者应确保自己完全明白该项投资的性质和所涉及的风险，详细了解和审慎评估该理财产品的资金投资方向、风险类型及</w:t>
      </w:r>
      <w:r>
        <w:rPr>
          <w:rFonts w:hint="eastAsia" w:ascii="华文仿宋" w:hAnsi="华文仿宋" w:eastAsia="华文仿宋" w:cs="华文仿宋"/>
          <w:color w:val="000000" w:themeColor="text1"/>
          <w:sz w:val="24"/>
          <w:szCs w:val="24"/>
          <w:lang w:eastAsia="zh-CN"/>
          <w14:textFill>
            <w14:solidFill>
              <w14:schemeClr w14:val="tx1"/>
            </w14:solidFill>
          </w14:textFill>
        </w:rPr>
        <w:t>投资</w:t>
      </w:r>
      <w:r>
        <w:rPr>
          <w:rFonts w:hint="eastAsia" w:ascii="华文仿宋" w:hAnsi="华文仿宋" w:eastAsia="华文仿宋" w:cs="华文仿宋"/>
          <w:color w:val="000000" w:themeColor="text1"/>
          <w:sz w:val="24"/>
          <w:szCs w:val="24"/>
          <w14:textFill>
            <w14:solidFill>
              <w14:schemeClr w14:val="tx1"/>
            </w14:solidFill>
          </w14:textFill>
        </w:rPr>
        <w:t>收益等基本情况，在慎重考虑后自行决定购买与自身风险能力和资产管理需求匹配的理财产品。</w:t>
      </w:r>
    </w:p>
    <w:p>
      <w:pPr>
        <w:spacing w:line="400" w:lineRule="exact"/>
        <w:ind w:firstLine="480"/>
        <w:jc w:val="left"/>
        <w:rPr>
          <w:rFonts w:ascii="华文仿宋" w:hAnsi="华文仿宋" w:eastAsia="华文仿宋" w:cs="华文仿宋"/>
          <w:color w:val="000000" w:themeColor="text1"/>
          <w:sz w:val="24"/>
          <w:szCs w:val="24"/>
          <w14:textFill>
            <w14:solidFill>
              <w14:schemeClr w14:val="tx1"/>
            </w14:solidFill>
          </w14:textFill>
        </w:rPr>
      </w:pPr>
      <w:r>
        <w:rPr>
          <w:rFonts w:hint="eastAsia" w:ascii="华文仿宋" w:hAnsi="华文仿宋" w:eastAsia="华文仿宋" w:cs="华文仿宋"/>
          <w:color w:val="000000" w:themeColor="text1"/>
          <w:sz w:val="24"/>
          <w:szCs w:val="24"/>
          <w14:textFill>
            <w14:solidFill>
              <w14:schemeClr w14:val="tx1"/>
            </w14:solidFill>
          </w14:textFill>
        </w:rPr>
        <w:t>五、在购买理财产品后，投资者应随时关注该理财产品的信息披露情况，及时获取相关信息。可依据本产品登记编码在“中国理财网(www.china</w:t>
      </w:r>
      <w:r>
        <w:rPr>
          <w:rFonts w:hint="eastAsia" w:ascii="华文仿宋" w:hAnsi="华文仿宋" w:eastAsia="华文仿宋" w:cs="华文仿宋"/>
          <w:color w:val="000000" w:themeColor="text1"/>
          <w:sz w:val="24"/>
          <w:szCs w:val="24"/>
          <w:lang w:val="en-US" w:eastAsia="zh-CN"/>
          <w14:textFill>
            <w14:solidFill>
              <w14:schemeClr w14:val="tx1"/>
            </w14:solidFill>
          </w14:textFill>
        </w:rPr>
        <w:t>w</w:t>
      </w:r>
      <w:r>
        <w:rPr>
          <w:rFonts w:hint="eastAsia" w:ascii="华文仿宋" w:hAnsi="华文仿宋" w:eastAsia="华文仿宋" w:cs="华文仿宋"/>
          <w:color w:val="000000" w:themeColor="text1"/>
          <w:sz w:val="24"/>
          <w:szCs w:val="24"/>
          <w14:textFill>
            <w14:solidFill>
              <w14:schemeClr w14:val="tx1"/>
            </w14:solidFill>
          </w14:textFill>
        </w:rPr>
        <w:t>ealth.com.cn)”查询产品信息。</w:t>
      </w:r>
    </w:p>
    <w:p>
      <w:pPr>
        <w:spacing w:line="400" w:lineRule="exact"/>
        <w:rPr>
          <w:rStyle w:val="10"/>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14605"/>
                <wp:wrapNone/>
                <wp:docPr id="8"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D9D9D9"/>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vert="horz" anchor="t"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D9D9D9" filled="t" stroked="t" coordsize="21600,21600" o:gfxdata="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8IAHD1gAAAAcBAAAPAAAAAAAAAAEAIAAAACIAAABkcnMv&#10;ZG93bnJldi54bWxQSwECFAAUAAAACACHTuJA5jl0/wUCAAANBAAADgAAAAAAAAABACAAAAAlAQAA&#10;ZHJzL2Uyb0RvYy54bWxQSwUGAAAAAAYABgBZAQAAnAU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spacing w:line="400" w:lineRule="exact"/>
        <w:rPr>
          <w:rStyle w:val="10"/>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538980"/>
                <wp:effectExtent l="4445" t="4445" r="14605" b="9525"/>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ascii="华文仿宋" w:hAnsi="华文仿宋" w:eastAsia="华文仿宋" w:cs="华文仿宋"/>
                                <w:color w:val="000000"/>
                                <w:sz w:val="24"/>
                                <w:szCs w:val="24"/>
                              </w:rPr>
                            </w:pPr>
                            <w:r>
                              <w:rPr>
                                <w:rStyle w:val="10"/>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10"/>
                                <w:rFonts w:hint="eastAsia" w:ascii="宋体" w:hAnsi="宋体" w:eastAsia="宋体" w:cs="宋体"/>
                                <w:b w:val="0"/>
                                <w:bCs w:val="0"/>
                                <w:kern w:val="0"/>
                                <w:szCs w:val="21"/>
                                <w:lang w:eastAsia="zh-CN"/>
                              </w:rPr>
                            </w:pPr>
                            <w:r>
                              <w:rPr>
                                <w:rStyle w:val="10"/>
                                <w:rFonts w:hint="eastAsia" w:ascii="宋体" w:hAnsi="宋体" w:eastAsia="宋体" w:cs="宋体"/>
                                <w:b w:val="0"/>
                                <w:bCs w:val="0"/>
                                <w:kern w:val="0"/>
                                <w:szCs w:val="21"/>
                                <w:lang w:eastAsia="zh-CN"/>
                              </w:rPr>
                              <w:drawing>
                                <wp:inline distT="0" distB="0" distL="114300" distR="114300">
                                  <wp:extent cx="4969510" cy="2710815"/>
                                  <wp:effectExtent l="0" t="0" r="2540" b="13335"/>
                                  <wp:docPr id="10" name="图片 10" descr="cb72a6ac76f2e3278f825d68289ea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b72a6ac76f2e3278f825d68289ea23"/>
                                          <pic:cNvPicPr>
                                            <a:picLocks noChangeAspect="1"/>
                                          </pic:cNvPicPr>
                                        </pic:nvPicPr>
                                        <pic:blipFill>
                                          <a:blip r:embed="rId6"/>
                                          <a:stretch>
                                            <a:fillRect/>
                                          </a:stretch>
                                        </pic:blipFill>
                                        <pic:spPr>
                                          <a:xfrm>
                                            <a:off x="0" y="0"/>
                                            <a:ext cx="4969510" cy="2710815"/>
                                          </a:xfrm>
                                          <a:prstGeom prst="rect">
                                            <a:avLst/>
                                          </a:prstGeom>
                                        </pic:spPr>
                                      </pic:pic>
                                    </a:graphicData>
                                  </a:graphic>
                                </wp:inline>
                              </w:drawing>
                            </w:r>
                          </w:p>
                          <w:p>
                            <w:pPr>
                              <w:rPr>
                                <w:rStyle w:val="10"/>
                                <w:rFonts w:ascii="宋体" w:hAnsi="宋体" w:cs="宋体"/>
                                <w:b w:val="0"/>
                                <w:bCs w:val="0"/>
                                <w:kern w:val="0"/>
                                <w:szCs w:val="21"/>
                              </w:rPr>
                            </w:pPr>
                            <w:r>
                              <w:rPr>
                                <w:rStyle w:val="10"/>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10"/>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w:t>
                            </w:r>
                            <w:r>
                              <w:rPr>
                                <w:rStyle w:val="10"/>
                                <w:rFonts w:hint="eastAsia" w:ascii="华文仿宋" w:hAnsi="华文仿宋" w:eastAsia="华文仿宋" w:cs="华文仿宋"/>
                                <w:b w:val="0"/>
                                <w:bCs w:val="0"/>
                                <w:kern w:val="0"/>
                                <w:sz w:val="24"/>
                                <w:szCs w:val="24"/>
                                <w:lang w:eastAsia="zh-CN"/>
                              </w:rPr>
                              <w:t>等</w:t>
                            </w:r>
                            <w:r>
                              <w:rPr>
                                <w:rStyle w:val="10"/>
                                <w:rFonts w:hint="eastAsia" w:ascii="华文仿宋" w:hAnsi="华文仿宋" w:eastAsia="华文仿宋" w:cs="华文仿宋"/>
                                <w:b w:val="0"/>
                                <w:bCs w:val="0"/>
                                <w:kern w:val="0"/>
                                <w:sz w:val="24"/>
                                <w:szCs w:val="24"/>
                              </w:rPr>
                              <w:t>是指本产品投资组合的整体评级为我行的中</w:t>
                            </w:r>
                            <w:r>
                              <w:rPr>
                                <w:rStyle w:val="10"/>
                                <w:rFonts w:hint="eastAsia" w:ascii="华文仿宋" w:hAnsi="华文仿宋" w:eastAsia="华文仿宋" w:cs="华文仿宋"/>
                                <w:b w:val="0"/>
                                <w:bCs w:val="0"/>
                                <w:kern w:val="0"/>
                                <w:sz w:val="24"/>
                                <w:szCs w:val="24"/>
                                <w:lang w:eastAsia="zh-CN"/>
                              </w:rPr>
                              <w:t>等</w:t>
                            </w:r>
                            <w:r>
                              <w:rPr>
                                <w:rStyle w:val="10"/>
                                <w:rFonts w:hint="eastAsia" w:ascii="华文仿宋" w:hAnsi="华文仿宋" w:eastAsia="华文仿宋" w:cs="华文仿宋"/>
                                <w:b w:val="0"/>
                                <w:bCs w:val="0"/>
                                <w:kern w:val="0"/>
                                <w:sz w:val="24"/>
                                <w:szCs w:val="24"/>
                              </w:rPr>
                              <w:t>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57.4pt;width:490.5pt;z-index:251658240;mso-width-relative:page;mso-height-relative:page;" fillcolor="#FFFFFF" filled="t" stroked="t" coordsize="21600,21600" o:gfxdata="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GoK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ascii="华文仿宋" w:hAnsi="华文仿宋" w:eastAsia="华文仿宋" w:cs="华文仿宋"/>
                          <w:color w:val="000000"/>
                          <w:sz w:val="24"/>
                          <w:szCs w:val="24"/>
                        </w:rPr>
                      </w:pPr>
                      <w:r>
                        <w:rPr>
                          <w:rStyle w:val="10"/>
                          <w:rFonts w:hint="eastAsia" w:ascii="华文仿宋" w:hAnsi="华文仿宋" w:eastAsia="华文仿宋" w:cs="华文仿宋"/>
                          <w:b w:val="0"/>
                          <w:bCs w:val="0"/>
                          <w:kern w:val="0"/>
                          <w:sz w:val="24"/>
                          <w:szCs w:val="24"/>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10"/>
                          <w:rFonts w:hint="eastAsia" w:ascii="宋体" w:hAnsi="宋体" w:eastAsia="宋体" w:cs="宋体"/>
                          <w:b w:val="0"/>
                          <w:bCs w:val="0"/>
                          <w:kern w:val="0"/>
                          <w:szCs w:val="21"/>
                          <w:lang w:eastAsia="zh-CN"/>
                        </w:rPr>
                      </w:pPr>
                      <w:r>
                        <w:rPr>
                          <w:rStyle w:val="10"/>
                          <w:rFonts w:hint="eastAsia" w:ascii="宋体" w:hAnsi="宋体" w:eastAsia="宋体" w:cs="宋体"/>
                          <w:b w:val="0"/>
                          <w:bCs w:val="0"/>
                          <w:kern w:val="0"/>
                          <w:szCs w:val="21"/>
                          <w:lang w:eastAsia="zh-CN"/>
                        </w:rPr>
                        <w:drawing>
                          <wp:inline distT="0" distB="0" distL="114300" distR="114300">
                            <wp:extent cx="4969510" cy="2710815"/>
                            <wp:effectExtent l="0" t="0" r="2540" b="13335"/>
                            <wp:docPr id="10" name="图片 10" descr="cb72a6ac76f2e3278f825d68289ea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b72a6ac76f2e3278f825d68289ea23"/>
                                    <pic:cNvPicPr>
                                      <a:picLocks noChangeAspect="1"/>
                                    </pic:cNvPicPr>
                                  </pic:nvPicPr>
                                  <pic:blipFill>
                                    <a:blip r:embed="rId6"/>
                                    <a:stretch>
                                      <a:fillRect/>
                                    </a:stretch>
                                  </pic:blipFill>
                                  <pic:spPr>
                                    <a:xfrm>
                                      <a:off x="0" y="0"/>
                                      <a:ext cx="4969510" cy="2710815"/>
                                    </a:xfrm>
                                    <a:prstGeom prst="rect">
                                      <a:avLst/>
                                    </a:prstGeom>
                                  </pic:spPr>
                                </pic:pic>
                              </a:graphicData>
                            </a:graphic>
                          </wp:inline>
                        </w:drawing>
                      </w:r>
                    </w:p>
                    <w:p>
                      <w:pPr>
                        <w:rPr>
                          <w:rStyle w:val="10"/>
                          <w:rFonts w:ascii="宋体" w:hAnsi="宋体" w:cs="宋体"/>
                          <w:b w:val="0"/>
                          <w:bCs w:val="0"/>
                          <w:kern w:val="0"/>
                          <w:szCs w:val="21"/>
                        </w:rPr>
                      </w:pPr>
                      <w:r>
                        <w:rPr>
                          <w:rStyle w:val="10"/>
                          <w:rFonts w:hint="eastAsia" w:ascii="宋体" w:hAnsi="宋体" w:cs="宋体"/>
                          <w:kern w:val="0"/>
                          <w:szCs w:val="21"/>
                        </w:rPr>
                        <w:t>风险程度</w:t>
                      </w:r>
                    </w:p>
                    <w:p>
                      <w:pPr>
                        <w:spacing w:line="400" w:lineRule="exact"/>
                        <w:jc w:val="left"/>
                        <w:rPr>
                          <w:rFonts w:ascii="华文仿宋" w:hAnsi="华文仿宋" w:eastAsia="华文仿宋" w:cs="华文仿宋"/>
                          <w:kern w:val="0"/>
                          <w:sz w:val="24"/>
                          <w:szCs w:val="24"/>
                        </w:rPr>
                      </w:pPr>
                      <w:r>
                        <w:rPr>
                          <w:rStyle w:val="10"/>
                          <w:rFonts w:hint="eastAsia" w:ascii="华文仿宋" w:hAnsi="华文仿宋" w:eastAsia="华文仿宋" w:cs="华文仿宋"/>
                          <w:b w:val="0"/>
                          <w:bCs w:val="0"/>
                          <w:kern w:val="0"/>
                          <w:sz w:val="24"/>
                          <w:szCs w:val="24"/>
                        </w:rPr>
                        <w:t>本产品评级为新疆银行基于投资品种期限、信用等级等相关要素做出的内部评级结果。风险等级为中</w:t>
                      </w:r>
                      <w:r>
                        <w:rPr>
                          <w:rStyle w:val="10"/>
                          <w:rFonts w:hint="eastAsia" w:ascii="华文仿宋" w:hAnsi="华文仿宋" w:eastAsia="华文仿宋" w:cs="华文仿宋"/>
                          <w:b w:val="0"/>
                          <w:bCs w:val="0"/>
                          <w:kern w:val="0"/>
                          <w:sz w:val="24"/>
                          <w:szCs w:val="24"/>
                          <w:lang w:eastAsia="zh-CN"/>
                        </w:rPr>
                        <w:t>等</w:t>
                      </w:r>
                      <w:r>
                        <w:rPr>
                          <w:rStyle w:val="10"/>
                          <w:rFonts w:hint="eastAsia" w:ascii="华文仿宋" w:hAnsi="华文仿宋" w:eastAsia="华文仿宋" w:cs="华文仿宋"/>
                          <w:b w:val="0"/>
                          <w:bCs w:val="0"/>
                          <w:kern w:val="0"/>
                          <w:sz w:val="24"/>
                          <w:szCs w:val="24"/>
                        </w:rPr>
                        <w:t>是指本产品投资组合的整体评级为我行的中</w:t>
                      </w:r>
                      <w:r>
                        <w:rPr>
                          <w:rStyle w:val="10"/>
                          <w:rFonts w:hint="eastAsia" w:ascii="华文仿宋" w:hAnsi="华文仿宋" w:eastAsia="华文仿宋" w:cs="华文仿宋"/>
                          <w:b w:val="0"/>
                          <w:bCs w:val="0"/>
                          <w:kern w:val="0"/>
                          <w:sz w:val="24"/>
                          <w:szCs w:val="24"/>
                          <w:lang w:eastAsia="zh-CN"/>
                        </w:rPr>
                        <w:t>等</w:t>
                      </w:r>
                      <w:r>
                        <w:rPr>
                          <w:rStyle w:val="10"/>
                          <w:rFonts w:hint="eastAsia" w:ascii="华文仿宋" w:hAnsi="华文仿宋" w:eastAsia="华文仿宋" w:cs="华文仿宋"/>
                          <w:b w:val="0"/>
                          <w:bCs w:val="0"/>
                          <w:kern w:val="0"/>
                          <w:sz w:val="24"/>
                          <w:szCs w:val="24"/>
                        </w:rPr>
                        <w:t>风险等级。</w:t>
                      </w:r>
                    </w:p>
                  </w:txbxContent>
                </v:textbox>
              </v:shape>
            </w:pict>
          </mc:Fallback>
        </mc:AlternateContent>
      </w:r>
      <w:r>
        <w:rPr>
          <w:rStyle w:val="10"/>
          <w:rFonts w:hint="eastAsia" w:ascii="宋体" w:hAnsi="宋体" w:cs="宋体"/>
          <w:color w:val="FFFFFF" w:themeColor="background1"/>
          <w:kern w:val="0"/>
          <w:sz w:val="18"/>
          <w:szCs w:val="18"/>
          <w14:textFill>
            <w14:solidFill>
              <w14:schemeClr w14:val="bg1"/>
            </w14:solidFill>
          </w14:textFill>
        </w:rPr>
        <w:t>一、特别提示</w:t>
      </w: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p>
      <w:pPr>
        <w:spacing w:line="400" w:lineRule="exact"/>
        <w:rPr>
          <w:rStyle w:val="10"/>
          <w:rFonts w:ascii="宋体" w:hAnsi="宋体" w:cs="宋体"/>
          <w:kern w:val="0"/>
          <w:sz w:val="18"/>
          <w:szCs w:val="18"/>
        </w:rPr>
      </w:pPr>
    </w:p>
    <w:tbl>
      <w:tblPr>
        <w:tblStyle w:val="7"/>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D7D7D7" w:themeFill="background1" w:themeFillShade="D8"/>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spacing w:line="400" w:lineRule="exact"/>
              <w:jc w:val="left"/>
              <w:rPr>
                <w:rFonts w:hint="default" w:ascii="华文仿宋" w:hAnsi="华文仿宋" w:eastAsia="华文仿宋" w:cs="华文仿宋"/>
                <w:bCs/>
                <w:kern w:val="0"/>
                <w:sz w:val="24"/>
                <w:szCs w:val="24"/>
                <w:lang w:val="en-US" w:eastAsia="zh-CN"/>
              </w:rPr>
            </w:pPr>
            <w:r>
              <w:rPr>
                <w:rFonts w:hint="eastAsia" w:ascii="华文仿宋" w:hAnsi="华文仿宋" w:eastAsia="华文仿宋" w:cs="华文仿宋"/>
                <w:bCs/>
                <w:kern w:val="0"/>
                <w:sz w:val="24"/>
                <w:szCs w:val="24"/>
                <w:lang w:eastAsia="zh-CN"/>
              </w:rPr>
              <w:t>金胡杨私募封闭式净值理财产品第</w:t>
            </w:r>
            <w:r>
              <w:rPr>
                <w:rFonts w:hint="eastAsia" w:ascii="华文仿宋" w:hAnsi="华文仿宋" w:eastAsia="华文仿宋" w:cs="华文仿宋"/>
                <w:bCs/>
                <w:kern w:val="0"/>
                <w:sz w:val="24"/>
                <w:szCs w:val="24"/>
                <w:lang w:val="en-US" w:eastAsia="zh-CN"/>
              </w:rPr>
              <w:t>2期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产品登记编码</w:t>
            </w:r>
          </w:p>
        </w:tc>
        <w:tc>
          <w:tcPr>
            <w:tcW w:w="8048" w:type="dxa"/>
            <w:vAlign w:val="center"/>
          </w:tcPr>
          <w:p>
            <w:pPr>
              <w:spacing w:line="400" w:lineRule="exact"/>
              <w:jc w:val="left"/>
              <w:rPr>
                <w:rFonts w:hint="default" w:ascii="华文仿宋" w:hAnsi="华文仿宋" w:eastAsia="宋体" w:cs="华文仿宋"/>
                <w:bCs/>
                <w:kern w:val="0"/>
                <w:sz w:val="24"/>
                <w:szCs w:val="24"/>
                <w:lang w:val="en-US" w:eastAsia="zh-CN"/>
              </w:rPr>
            </w:pPr>
            <w:r>
              <w:rPr>
                <w:rFonts w:hint="default" w:ascii="华文仿宋" w:hAnsi="华文仿宋" w:eastAsia="宋体" w:cs="华文仿宋"/>
                <w:bCs/>
                <w:kern w:val="0"/>
                <w:sz w:val="24"/>
                <w:szCs w:val="24"/>
                <w:lang w:val="en-US" w:eastAsia="zh-CN"/>
              </w:rPr>
              <w:t>C1364320A000038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spacing w:line="400" w:lineRule="exact"/>
              <w:jc w:val="left"/>
              <w:rPr>
                <w:rStyle w:val="10"/>
                <w:rFonts w:hint="eastAsia" w:ascii="华文仿宋" w:hAnsi="华文仿宋" w:eastAsia="华文仿宋" w:cs="华文仿宋"/>
                <w:b w:val="0"/>
                <w:bCs w:val="0"/>
                <w:kern w:val="0"/>
                <w:sz w:val="24"/>
                <w:szCs w:val="24"/>
                <w:lang w:eastAsia="zh-CN"/>
              </w:rPr>
            </w:pPr>
            <w:r>
              <w:rPr>
                <w:rStyle w:val="10"/>
                <w:rFonts w:hint="eastAsia" w:ascii="华文仿宋" w:hAnsi="华文仿宋" w:eastAsia="华文仿宋" w:cs="华文仿宋"/>
                <w:b w:val="0"/>
                <w:bCs w:val="0"/>
                <w:kern w:val="0"/>
                <w:sz w:val="24"/>
                <w:szCs w:val="24"/>
                <w:lang w:eastAsia="zh-CN"/>
              </w:rPr>
              <w:t>私募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产品类型</w:t>
            </w:r>
          </w:p>
        </w:tc>
        <w:tc>
          <w:tcPr>
            <w:tcW w:w="8048" w:type="dxa"/>
            <w:vAlign w:val="center"/>
          </w:tcPr>
          <w:p>
            <w:pPr>
              <w:spacing w:line="400" w:lineRule="exact"/>
              <w:jc w:val="left"/>
              <w:rPr>
                <w:rFonts w:ascii="华文仿宋" w:hAnsi="华文仿宋" w:eastAsia="华文仿宋" w:cs="华文仿宋"/>
                <w:sz w:val="24"/>
                <w:szCs w:val="24"/>
              </w:rPr>
            </w:pPr>
            <w:r>
              <w:rPr>
                <w:rStyle w:val="10"/>
                <w:rFonts w:hint="eastAsia" w:ascii="华文仿宋" w:hAnsi="华文仿宋" w:eastAsia="华文仿宋" w:cs="华文仿宋"/>
                <w:b w:val="0"/>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产品运作模式</w:t>
            </w:r>
          </w:p>
        </w:tc>
        <w:tc>
          <w:tcPr>
            <w:tcW w:w="8048" w:type="dxa"/>
            <w:vAlign w:val="center"/>
          </w:tcPr>
          <w:p>
            <w:pPr>
              <w:spacing w:line="400" w:lineRule="exact"/>
              <w:jc w:val="left"/>
              <w:rPr>
                <w:rStyle w:val="10"/>
                <w:rFonts w:ascii="华文仿宋" w:hAnsi="华文仿宋" w:eastAsia="华文仿宋" w:cs="华文仿宋"/>
                <w:b w:val="0"/>
                <w:bCs w:val="0"/>
                <w:kern w:val="0"/>
                <w:sz w:val="24"/>
                <w:szCs w:val="24"/>
              </w:rPr>
            </w:pPr>
            <w:r>
              <w:rPr>
                <w:rStyle w:val="10"/>
                <w:rFonts w:hint="eastAsia" w:ascii="华文仿宋" w:hAnsi="华文仿宋" w:eastAsia="华文仿宋" w:cs="华文仿宋"/>
                <w:b w:val="0"/>
                <w:bCs w:val="0"/>
                <w:kern w:val="0"/>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spacing w:line="400" w:lineRule="exact"/>
              <w:jc w:val="left"/>
              <w:rPr>
                <w:rStyle w:val="10"/>
                <w:rFonts w:ascii="华文仿宋" w:hAnsi="华文仿宋" w:eastAsia="华文仿宋" w:cs="华文仿宋"/>
                <w:b w:val="0"/>
                <w:bCs w:val="0"/>
                <w:kern w:val="0"/>
                <w:sz w:val="24"/>
                <w:szCs w:val="24"/>
              </w:rPr>
            </w:pPr>
            <w:r>
              <w:rPr>
                <w:rStyle w:val="10"/>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spacing w:line="400" w:lineRule="exact"/>
              <w:jc w:val="left"/>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365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kern w:val="0"/>
                <w:sz w:val="24"/>
                <w:szCs w:val="24"/>
              </w:rPr>
              <w:t>R</w:t>
            </w:r>
            <w:r>
              <w:rPr>
                <w:rFonts w:hint="eastAsia" w:ascii="华文仿宋" w:hAnsi="华文仿宋" w:eastAsia="华文仿宋" w:cs="华文仿宋"/>
                <w:b/>
                <w:kern w:val="0"/>
                <w:sz w:val="24"/>
                <w:szCs w:val="24"/>
                <w:lang w:val="en-US" w:eastAsia="zh-CN"/>
              </w:rPr>
              <w:t>3平衡型</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经新疆银行风险评估，</w:t>
            </w:r>
            <w:r>
              <w:rPr>
                <w:rFonts w:hint="eastAsia" w:ascii="华文仿宋" w:hAnsi="华文仿宋" w:eastAsia="华文仿宋" w:cs="华文仿宋"/>
                <w:bCs/>
                <w:kern w:val="0"/>
                <w:sz w:val="24"/>
                <w:szCs w:val="24"/>
                <w:highlight w:val="none"/>
              </w:rPr>
              <w:t>本产品适合</w:t>
            </w:r>
            <w:r>
              <w:rPr>
                <w:rFonts w:hint="eastAsia" w:ascii="华文仿宋" w:hAnsi="华文仿宋" w:eastAsia="华文仿宋" w:cs="华文仿宋"/>
                <w:b/>
                <w:bCs/>
                <w:sz w:val="24"/>
                <w:szCs w:val="24"/>
                <w:highlight w:val="none"/>
              </w:rPr>
              <w:t>平衡型、成长型、进取型</w:t>
            </w:r>
            <w:r>
              <w:rPr>
                <w:rFonts w:hint="eastAsia" w:ascii="华文仿宋" w:hAnsi="华文仿宋" w:eastAsia="华文仿宋" w:cs="华文仿宋"/>
                <w:bCs/>
                <w:kern w:val="0"/>
                <w:sz w:val="24"/>
                <w:szCs w:val="24"/>
                <w:highlight w:val="none"/>
              </w:rPr>
              <w:t>的</w:t>
            </w:r>
            <w:r>
              <w:rPr>
                <w:rFonts w:hint="eastAsia" w:ascii="华文仿宋" w:hAnsi="华文仿宋" w:eastAsia="华文仿宋" w:cs="华文仿宋"/>
                <w:bCs/>
                <w:kern w:val="0"/>
                <w:sz w:val="24"/>
                <w:szCs w:val="24"/>
                <w:highlight w:val="none"/>
                <w:lang w:eastAsia="zh-CN"/>
              </w:rPr>
              <w:t>合格投资者</w:t>
            </w:r>
            <w:r>
              <w:rPr>
                <w:rFonts w:hint="eastAsia" w:ascii="华文仿宋" w:hAnsi="华文仿宋" w:eastAsia="华文仿宋" w:cs="华文仿宋"/>
                <w:bCs/>
                <w:kern w:val="0"/>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本理财产品认购起点为人民币</w:t>
            </w:r>
            <w:r>
              <w:rPr>
                <w:rFonts w:hint="eastAsia" w:ascii="华文仿宋" w:hAnsi="华文仿宋" w:eastAsia="华文仿宋" w:cs="华文仿宋"/>
                <w:bCs/>
                <w:kern w:val="0"/>
                <w:sz w:val="24"/>
                <w:szCs w:val="24"/>
                <w:lang w:val="en-US" w:eastAsia="zh-CN"/>
              </w:rPr>
              <w:t>30</w:t>
            </w:r>
            <w:r>
              <w:rPr>
                <w:rFonts w:hint="eastAsia" w:ascii="华文仿宋" w:hAnsi="华文仿宋" w:eastAsia="华文仿宋" w:cs="华文仿宋"/>
                <w:bCs/>
                <w:kern w:val="0"/>
                <w:sz w:val="24"/>
                <w:szCs w:val="24"/>
              </w:rPr>
              <w:t>万元，以</w:t>
            </w:r>
            <w:r>
              <w:rPr>
                <w:rFonts w:hint="eastAsia" w:ascii="华文仿宋" w:hAnsi="华文仿宋" w:eastAsia="华文仿宋" w:cs="华文仿宋"/>
                <w:bCs/>
                <w:kern w:val="0"/>
                <w:sz w:val="24"/>
                <w:szCs w:val="24"/>
                <w:lang w:val="en-US" w:eastAsia="zh-CN"/>
              </w:rPr>
              <w:t>1万元</w:t>
            </w:r>
            <w:r>
              <w:rPr>
                <w:rFonts w:hint="eastAsia" w:ascii="华文仿宋" w:hAnsi="华文仿宋" w:eastAsia="华文仿宋" w:cs="华文仿宋"/>
                <w:bCs/>
                <w:kern w:val="0"/>
                <w:sz w:val="24"/>
                <w:szCs w:val="24"/>
              </w:rPr>
              <w:t>整数倍递增。</w:t>
            </w:r>
          </w:p>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bCs/>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产品</w:t>
            </w:r>
            <w:r>
              <w:rPr>
                <w:rFonts w:hint="eastAsia" w:ascii="华文仿宋" w:hAnsi="华文仿宋" w:eastAsia="华文仿宋" w:cs="华文仿宋"/>
                <w:kern w:val="0"/>
                <w:sz w:val="24"/>
                <w:szCs w:val="24"/>
                <w:lang w:eastAsia="zh-CN"/>
              </w:rPr>
              <w:t>发行</w:t>
            </w:r>
            <w:r>
              <w:rPr>
                <w:rFonts w:hint="eastAsia" w:ascii="华文仿宋" w:hAnsi="华文仿宋" w:eastAsia="华文仿宋" w:cs="华文仿宋"/>
                <w:kern w:val="0"/>
                <w:sz w:val="24"/>
                <w:szCs w:val="24"/>
              </w:rPr>
              <w:t>规模</w:t>
            </w:r>
            <w:r>
              <w:rPr>
                <w:rFonts w:hint="eastAsia" w:ascii="华文仿宋" w:hAnsi="华文仿宋" w:eastAsia="华文仿宋" w:cs="华文仿宋"/>
                <w:kern w:val="0"/>
                <w:sz w:val="24"/>
                <w:szCs w:val="24"/>
                <w:lang w:val="en-US" w:eastAsia="zh-CN"/>
              </w:rPr>
              <w:t xml:space="preserve">1000万元至2500 </w:t>
            </w:r>
            <w:r>
              <w:rPr>
                <w:rFonts w:hint="eastAsia" w:ascii="华文仿宋" w:hAnsi="华文仿宋" w:eastAsia="华文仿宋" w:cs="华文仿宋"/>
                <w:kern w:val="0"/>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hint="eastAsia" w:ascii="华文仿宋" w:hAnsi="华文仿宋" w:eastAsia="华文仿宋" w:cs="华文仿宋"/>
                <w:bCs/>
                <w:kern w:val="0"/>
                <w:sz w:val="24"/>
                <w:szCs w:val="24"/>
                <w:lang w:val="en-US" w:eastAsia="zh-CN" w:bidi="ar-SA"/>
              </w:rPr>
            </w:pPr>
            <w:r>
              <w:rPr>
                <w:rFonts w:hint="eastAsia" w:ascii="华文仿宋" w:hAnsi="华文仿宋" w:eastAsia="华文仿宋" w:cs="华文仿宋"/>
                <w:bCs/>
                <w:kern w:val="0"/>
                <w:sz w:val="24"/>
                <w:szCs w:val="24"/>
                <w:lang w:eastAsia="zh-CN"/>
              </w:rPr>
              <w:t>产品冷静期</w:t>
            </w:r>
          </w:p>
        </w:tc>
        <w:tc>
          <w:tcPr>
            <w:tcW w:w="8048" w:type="dxa"/>
            <w:vAlign w:val="center"/>
          </w:tcPr>
          <w:p>
            <w:pPr>
              <w:numPr>
                <w:ilvl w:val="0"/>
                <w:numId w:val="0"/>
              </w:numPr>
              <w:spacing w:line="360" w:lineRule="exact"/>
              <w:ind w:left="0" w:leftChars="0" w:firstLine="480" w:firstLineChars="200"/>
              <w:rPr>
                <w:rFonts w:hint="eastAsia" w:ascii="华文仿宋" w:hAnsi="华文仿宋" w:eastAsia="华文仿宋" w:cs="华文仿宋"/>
                <w:bCs/>
                <w:kern w:val="0"/>
                <w:sz w:val="24"/>
                <w:szCs w:val="24"/>
                <w:highlight w:val="yellow"/>
                <w:lang w:val="en-US" w:eastAsia="zh-CN" w:bidi="ar-SA"/>
              </w:rPr>
            </w:pPr>
            <w:r>
              <w:rPr>
                <w:rFonts w:hint="eastAsia" w:ascii="华文仿宋" w:hAnsi="华文仿宋" w:eastAsia="华文仿宋"/>
                <w:b w:val="0"/>
                <w:bCs/>
                <w:sz w:val="24"/>
                <w:szCs w:val="24"/>
                <w:lang w:val="en-US" w:eastAsia="zh-CN"/>
              </w:rPr>
              <w:t>双方签订协议起二十五小时内，如您改变决定，需解除签订的销售协议，我行将及时退还您的全部投资款项，在此二十五小时之内即为投资冷静期</w:t>
            </w:r>
            <w:r>
              <w:rPr>
                <w:rFonts w:hint="eastAsia" w:ascii="华文仿宋" w:hAnsi="华文仿宋" w:eastAsia="华文仿宋"/>
                <w:b w:val="0"/>
                <w:bCs/>
                <w:sz w:val="24"/>
                <w:szCs w:val="24"/>
                <w:highlight w:val="none"/>
                <w:lang w:val="en-US" w:eastAsia="zh-CN"/>
              </w:rPr>
              <w:t>，投资冷静期截止时间为产品起息日前一日的19:00整。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产品募集期</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lang w:val="en-US" w:eastAsia="zh-CN"/>
              </w:rPr>
              <w:t>2020</w:t>
            </w:r>
            <w:r>
              <w:rPr>
                <w:rFonts w:hint="eastAsia" w:ascii="华文仿宋" w:hAnsi="华文仿宋" w:eastAsia="华文仿宋" w:cs="华文仿宋"/>
                <w:bCs/>
                <w:kern w:val="0"/>
                <w:sz w:val="24"/>
                <w:szCs w:val="24"/>
              </w:rPr>
              <w:t>年</w:t>
            </w:r>
            <w:r>
              <w:rPr>
                <w:rFonts w:hint="eastAsia" w:ascii="华文仿宋" w:hAnsi="华文仿宋" w:eastAsia="华文仿宋" w:cs="华文仿宋"/>
                <w:bCs/>
                <w:kern w:val="0"/>
                <w:sz w:val="24"/>
                <w:szCs w:val="24"/>
                <w:lang w:val="en-US" w:eastAsia="zh-CN"/>
              </w:rPr>
              <w:t>11月12</w:t>
            </w:r>
            <w:r>
              <w:rPr>
                <w:rFonts w:hint="eastAsia" w:ascii="华文仿宋" w:hAnsi="华文仿宋" w:eastAsia="华文仿宋" w:cs="华文仿宋"/>
                <w:bCs/>
                <w:kern w:val="0"/>
                <w:sz w:val="24"/>
                <w:szCs w:val="24"/>
              </w:rPr>
              <w:t xml:space="preserve"> 日</w:t>
            </w:r>
            <w:r>
              <w:rPr>
                <w:rFonts w:hint="eastAsia" w:ascii="华文仿宋" w:hAnsi="华文仿宋" w:eastAsia="华文仿宋" w:cs="华文仿宋"/>
                <w:bCs/>
                <w:kern w:val="0"/>
                <w:sz w:val="24"/>
                <w:szCs w:val="24"/>
                <w:lang w:eastAsia="zh-CN"/>
              </w:rPr>
              <w:t>至</w:t>
            </w:r>
            <w:r>
              <w:rPr>
                <w:rFonts w:hint="eastAsia" w:ascii="华文仿宋" w:hAnsi="华文仿宋" w:eastAsia="华文仿宋" w:cs="华文仿宋"/>
                <w:bCs/>
                <w:kern w:val="0"/>
                <w:sz w:val="24"/>
                <w:szCs w:val="24"/>
                <w:lang w:val="en-US" w:eastAsia="zh-CN"/>
              </w:rPr>
              <w:t>2020年11月17日</w:t>
            </w:r>
            <w:r>
              <w:rPr>
                <w:rFonts w:hint="eastAsia" w:ascii="华文仿宋" w:hAnsi="华文仿宋" w:eastAsia="华文仿宋" w:cs="华文仿宋"/>
                <w:bCs/>
                <w:kern w:val="0"/>
                <w:sz w:val="24"/>
                <w:szCs w:val="24"/>
              </w:rPr>
              <w:t>。即客户可以购买本产品的时间段。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产品成立日</w:t>
            </w:r>
          </w:p>
        </w:tc>
        <w:tc>
          <w:tcPr>
            <w:tcW w:w="8048" w:type="dxa"/>
            <w:vAlign w:val="center"/>
          </w:tcPr>
          <w:p>
            <w:pPr>
              <w:spacing w:line="400" w:lineRule="exact"/>
              <w:jc w:val="left"/>
              <w:rPr>
                <w:rFonts w:hint="default" w:ascii="华文仿宋" w:hAnsi="华文仿宋" w:eastAsia="华文仿宋" w:cs="华文仿宋"/>
                <w:sz w:val="24"/>
                <w:szCs w:val="24"/>
                <w:lang w:val="en-US" w:eastAsia="zh-CN"/>
              </w:rPr>
            </w:pPr>
            <w:r>
              <w:rPr>
                <w:rFonts w:hint="eastAsia" w:ascii="华文仿宋" w:hAnsi="华文仿宋" w:eastAsia="华文仿宋" w:cs="华文仿宋"/>
                <w:kern w:val="0"/>
                <w:sz w:val="24"/>
                <w:szCs w:val="24"/>
                <w:highlight w:val="none"/>
                <w:lang w:val="en-US" w:eastAsia="zh-CN"/>
              </w:rPr>
              <w:t>2020</w:t>
            </w:r>
            <w:r>
              <w:rPr>
                <w:rFonts w:hint="eastAsia" w:ascii="华文仿宋" w:hAnsi="华文仿宋" w:eastAsia="华文仿宋" w:cs="华文仿宋"/>
                <w:kern w:val="0"/>
                <w:sz w:val="24"/>
                <w:szCs w:val="24"/>
                <w:highlight w:val="none"/>
              </w:rPr>
              <w:t>年</w:t>
            </w:r>
            <w:r>
              <w:rPr>
                <w:rFonts w:hint="eastAsia" w:ascii="华文仿宋" w:hAnsi="华文仿宋" w:eastAsia="华文仿宋" w:cs="华文仿宋"/>
                <w:kern w:val="0"/>
                <w:sz w:val="24"/>
                <w:szCs w:val="24"/>
                <w:highlight w:val="none"/>
                <w:lang w:val="en-US" w:eastAsia="zh-CN"/>
              </w:rPr>
              <w:t>11月19</w:t>
            </w:r>
            <w:r>
              <w:rPr>
                <w:rFonts w:hint="eastAsia" w:ascii="华文仿宋" w:hAnsi="华文仿宋" w:eastAsia="华文仿宋" w:cs="华文仿宋"/>
                <w:kern w:val="0"/>
                <w:sz w:val="24"/>
                <w:szCs w:val="24"/>
                <w:highlight w:val="none"/>
              </w:rPr>
              <w:t>日</w:t>
            </w:r>
            <w:r>
              <w:rPr>
                <w:rFonts w:hint="eastAsia" w:ascii="华文仿宋" w:hAnsi="华文仿宋" w:eastAsia="华文仿宋" w:cs="华文仿宋"/>
                <w:bCs/>
                <w:kern w:val="0"/>
                <w:sz w:val="24"/>
                <w:szCs w:val="24"/>
                <w:highlight w:val="none"/>
              </w:rPr>
              <w:t>，</w:t>
            </w:r>
            <w:r>
              <w:rPr>
                <w:rFonts w:hint="eastAsia" w:ascii="华文仿宋" w:hAnsi="华文仿宋" w:eastAsia="华文仿宋" w:cs="华文仿宋"/>
                <w:kern w:val="0"/>
                <w:sz w:val="24"/>
                <w:szCs w:val="24"/>
                <w:highlight w:val="none"/>
              </w:rPr>
              <w:t>理财产品自成立日起计算理财收益</w:t>
            </w:r>
            <w:r>
              <w:rPr>
                <w:rFonts w:hint="eastAsia" w:ascii="华文仿宋" w:hAnsi="华文仿宋" w:eastAsia="华文仿宋" w:cs="华文仿宋"/>
                <w:kern w:val="0"/>
                <w:sz w:val="24"/>
                <w:szCs w:val="24"/>
                <w:highlight w:val="none"/>
                <w:lang w:eastAsia="zh-CN"/>
              </w:rPr>
              <w:t>。理财产品成立日前的认购</w:t>
            </w:r>
            <w:r>
              <w:rPr>
                <w:rFonts w:hint="eastAsia" w:ascii="华文仿宋" w:hAnsi="华文仿宋" w:eastAsia="华文仿宋" w:cs="华文仿宋"/>
                <w:bCs/>
                <w:kern w:val="0"/>
                <w:sz w:val="24"/>
                <w:szCs w:val="24"/>
                <w:highlight w:val="none"/>
              </w:rPr>
              <w:t>资金按照活期存款利率计息，</w:t>
            </w:r>
            <w:r>
              <w:rPr>
                <w:rFonts w:hint="eastAsia" w:ascii="华文仿宋" w:hAnsi="华文仿宋" w:eastAsia="华文仿宋" w:cs="华文仿宋"/>
                <w:bCs/>
                <w:kern w:val="0"/>
                <w:sz w:val="24"/>
                <w:szCs w:val="24"/>
                <w:highlight w:val="none"/>
                <w:lang w:eastAsia="zh-CN"/>
              </w:rPr>
              <w:t>该</w:t>
            </w:r>
            <w:r>
              <w:rPr>
                <w:rFonts w:hint="eastAsia" w:ascii="华文仿宋" w:hAnsi="华文仿宋" w:eastAsia="华文仿宋" w:cs="华文仿宋"/>
                <w:bCs/>
                <w:kern w:val="0"/>
                <w:sz w:val="24"/>
                <w:szCs w:val="24"/>
                <w:highlight w:val="none"/>
              </w:rPr>
              <w:t>利息不计入认购本金份额。</w:t>
            </w:r>
            <w:r>
              <w:rPr>
                <w:rFonts w:hint="eastAsia" w:ascii="华文仿宋" w:hAnsi="华文仿宋" w:eastAsia="华文仿宋" w:cs="华文仿宋"/>
                <w:bCs/>
                <w:kern w:val="0"/>
                <w:sz w:val="24"/>
                <w:szCs w:val="24"/>
                <w:highlight w:val="none"/>
                <w:lang w:eastAsia="zh-CN"/>
              </w:rPr>
              <w:t>本</w:t>
            </w:r>
            <w:r>
              <w:rPr>
                <w:rFonts w:hint="eastAsia" w:ascii="华文仿宋" w:hAnsi="华文仿宋" w:eastAsia="华文仿宋" w:cs="华文仿宋"/>
                <w:bCs/>
                <w:kern w:val="0"/>
                <w:sz w:val="24"/>
                <w:szCs w:val="24"/>
                <w:highlight w:val="none"/>
              </w:rPr>
              <w:t>产品的成立日为</w:t>
            </w:r>
            <w:r>
              <w:rPr>
                <w:rFonts w:hint="eastAsia" w:ascii="华文仿宋" w:hAnsi="华文仿宋" w:eastAsia="华文仿宋" w:cs="华文仿宋"/>
                <w:bCs/>
                <w:kern w:val="0"/>
                <w:sz w:val="24"/>
                <w:szCs w:val="24"/>
                <w:highlight w:val="none"/>
                <w:lang w:eastAsia="zh-CN"/>
              </w:rPr>
              <w:t>募集期结束后第二个工作日。</w:t>
            </w:r>
            <w:r>
              <w:rPr>
                <w:rFonts w:hint="eastAsia" w:ascii="华文仿宋" w:hAnsi="华文仿宋" w:eastAsia="华文仿宋" w:cs="华文仿宋"/>
                <w:bCs/>
                <w:kern w:val="0"/>
                <w:sz w:val="24"/>
                <w:szCs w:val="24"/>
              </w:rPr>
              <w:t>但在以下两种情形除外：（1）若在募集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产品到期日</w:t>
            </w:r>
          </w:p>
        </w:tc>
        <w:tc>
          <w:tcPr>
            <w:tcW w:w="8048" w:type="dxa"/>
            <w:vAlign w:val="center"/>
          </w:tcPr>
          <w:p>
            <w:pPr>
              <w:spacing w:line="400" w:lineRule="exact"/>
              <w:jc w:val="left"/>
              <w:rPr>
                <w:rFonts w:ascii="华文仿宋" w:hAnsi="华文仿宋" w:eastAsia="华文仿宋" w:cs="华文仿宋"/>
                <w:bCs/>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年</w:t>
            </w:r>
            <w:r>
              <w:rPr>
                <w:rFonts w:hint="eastAsia" w:ascii="华文仿宋" w:hAnsi="华文仿宋" w:eastAsia="华文仿宋" w:cs="华文仿宋"/>
                <w:bCs/>
                <w:sz w:val="24"/>
                <w:szCs w:val="24"/>
                <w:lang w:val="en-US" w:eastAsia="zh-CN"/>
              </w:rPr>
              <w:t>11</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19日</w:t>
            </w:r>
            <w:r>
              <w:rPr>
                <w:rFonts w:hint="eastAsia" w:ascii="华文仿宋" w:hAnsi="华文仿宋" w:eastAsia="华文仿宋" w:cs="华文仿宋"/>
                <w:bCs/>
                <w:sz w:val="24"/>
                <w:szCs w:val="24"/>
              </w:rPr>
              <w:t>，到期日（或提前终止日）至兑付日之间客户资金不计收益。</w:t>
            </w:r>
          </w:p>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sz w:val="24"/>
                <w:szCs w:val="24"/>
              </w:rPr>
              <w:t>如遇非工作日则顺延至其后第一个工作日，</w:t>
            </w:r>
            <w:r>
              <w:rPr>
                <w:rFonts w:hint="eastAsia" w:ascii="华文仿宋" w:hAnsi="华文仿宋" w:eastAsia="华文仿宋" w:cs="华文仿宋"/>
                <w:bCs/>
                <w:kern w:val="0"/>
                <w:sz w:val="24"/>
                <w:szCs w:val="24"/>
              </w:rPr>
              <w:t>实际产品到期日、理财运作期限受制于产品提前终止条款。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产品兑付日</w:t>
            </w:r>
          </w:p>
        </w:tc>
        <w:tc>
          <w:tcPr>
            <w:tcW w:w="8048" w:type="dxa"/>
            <w:vAlign w:val="center"/>
          </w:tcPr>
          <w:p>
            <w:p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sz w:val="24"/>
                <w:szCs w:val="24"/>
                <w:lang w:val="en-US" w:eastAsia="zh-CN"/>
              </w:rPr>
              <w:t>2021</w:t>
            </w:r>
            <w:r>
              <w:rPr>
                <w:rFonts w:hint="eastAsia" w:ascii="华文仿宋" w:hAnsi="华文仿宋" w:eastAsia="华文仿宋" w:cs="华文仿宋"/>
                <w:bCs/>
                <w:sz w:val="24"/>
                <w:szCs w:val="24"/>
              </w:rPr>
              <w:t>年</w:t>
            </w:r>
            <w:r>
              <w:rPr>
                <w:rFonts w:hint="eastAsia" w:ascii="华文仿宋" w:hAnsi="华文仿宋" w:eastAsia="华文仿宋" w:cs="华文仿宋"/>
                <w:bCs/>
                <w:sz w:val="24"/>
                <w:szCs w:val="24"/>
                <w:lang w:val="en-US" w:eastAsia="zh-CN"/>
              </w:rPr>
              <w:t>11</w:t>
            </w:r>
            <w:r>
              <w:rPr>
                <w:rFonts w:hint="eastAsia" w:ascii="华文仿宋" w:hAnsi="华文仿宋" w:eastAsia="华文仿宋" w:cs="华文仿宋"/>
                <w:bCs/>
                <w:sz w:val="24"/>
                <w:szCs w:val="24"/>
              </w:rPr>
              <w:t>月</w:t>
            </w:r>
            <w:r>
              <w:rPr>
                <w:rFonts w:hint="eastAsia" w:ascii="华文仿宋" w:hAnsi="华文仿宋" w:eastAsia="华文仿宋" w:cs="华文仿宋"/>
                <w:bCs/>
                <w:sz w:val="24"/>
                <w:szCs w:val="24"/>
                <w:lang w:val="en-US" w:eastAsia="zh-CN"/>
              </w:rPr>
              <w:t>19日</w:t>
            </w:r>
            <w:r>
              <w:rPr>
                <w:rFonts w:hint="eastAsia" w:ascii="华文仿宋" w:hAnsi="华文仿宋" w:eastAsia="华文仿宋" w:cs="华文仿宋"/>
                <w:bCs/>
                <w:sz w:val="24"/>
                <w:szCs w:val="24"/>
              </w:rPr>
              <w:t>，兑付日是客户理财资金到账日，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w:t>
            </w:r>
            <w:r>
              <w:rPr>
                <w:rFonts w:hint="eastAsia" w:ascii="华文仿宋" w:hAnsi="华文仿宋" w:eastAsia="华文仿宋" w:cs="华文仿宋"/>
                <w:bCs/>
                <w:kern w:val="0"/>
                <w:sz w:val="24"/>
                <w:szCs w:val="24"/>
              </w:rPr>
              <w:t>（网址：www.xjbank.com）</w:t>
            </w:r>
            <w:r>
              <w:rPr>
                <w:rFonts w:hint="eastAsia" w:ascii="华文仿宋" w:hAnsi="华文仿宋" w:eastAsia="华文仿宋" w:cs="华文仿宋"/>
                <w:bCs/>
                <w:sz w:val="24"/>
                <w:szCs w:val="24"/>
              </w:rPr>
              <w:t>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业绩比较基准</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本产品业绩比较基准为</w:t>
            </w:r>
            <w:r>
              <w:rPr>
                <w:rFonts w:hint="eastAsia" w:ascii="华文仿宋" w:hAnsi="华文仿宋" w:eastAsia="华文仿宋" w:cs="华文仿宋"/>
                <w:bCs/>
                <w:kern w:val="0"/>
                <w:sz w:val="24"/>
                <w:szCs w:val="24"/>
                <w:lang w:val="en-US" w:eastAsia="zh-CN"/>
              </w:rPr>
              <w:t>4.5</w:t>
            </w:r>
            <w:r>
              <w:rPr>
                <w:rFonts w:hint="eastAsia" w:ascii="华文仿宋" w:hAnsi="华文仿宋" w:eastAsia="华文仿宋" w:cs="华文仿宋"/>
                <w:bCs/>
                <w:kern w:val="0"/>
                <w:sz w:val="24"/>
                <w:szCs w:val="24"/>
              </w:rPr>
              <w:t>%(年化)，业绩表现随</w:t>
            </w:r>
            <w:r>
              <w:rPr>
                <w:rFonts w:hint="eastAsia" w:ascii="华文仿宋" w:hAnsi="华文仿宋" w:eastAsia="华文仿宋" w:cs="华文仿宋"/>
                <w:bCs/>
                <w:kern w:val="0"/>
                <w:sz w:val="24"/>
                <w:szCs w:val="24"/>
                <w:lang w:eastAsia="zh-CN"/>
              </w:rPr>
              <w:t>投资标的物及投资组合的波动而波动</w:t>
            </w:r>
            <w:r>
              <w:rPr>
                <w:rFonts w:hint="eastAsia" w:ascii="华文仿宋" w:hAnsi="华文仿宋" w:eastAsia="华文仿宋" w:cs="华文仿宋"/>
                <w:bCs/>
                <w:kern w:val="0"/>
                <w:sz w:val="24"/>
                <w:szCs w:val="24"/>
              </w:rPr>
              <w:t>，具有不确定性，该业绩比较基准仅作为计算浮动管理费的依据，不构成新疆银行对产品实际投资收益率的承诺或担保，客户的实际收益由产品净值决定。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产品费用</w:t>
            </w:r>
          </w:p>
        </w:tc>
        <w:tc>
          <w:tcPr>
            <w:tcW w:w="8048" w:type="dxa"/>
            <w:vAlign w:val="center"/>
          </w:tcPr>
          <w:p>
            <w:pPr>
              <w:widowControl/>
              <w:spacing w:line="400" w:lineRule="exact"/>
              <w:ind w:right="-107" w:rightChars="-51"/>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理财产品费用包含销售管理费、产品托管费、固定管理费、浮动管理费以及按照国家规定可以列入的其他费用。</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本产品</w:t>
            </w:r>
            <w:r>
              <w:rPr>
                <w:rFonts w:hint="eastAsia" w:ascii="华文仿宋" w:hAnsi="华文仿宋" w:eastAsia="华文仿宋" w:cs="华文仿宋"/>
                <w:bCs/>
                <w:color w:val="auto"/>
                <w:kern w:val="0"/>
                <w:sz w:val="24"/>
                <w:szCs w:val="24"/>
                <w:lang w:eastAsia="zh-CN"/>
              </w:rPr>
              <w:t>的</w:t>
            </w:r>
            <w:r>
              <w:rPr>
                <w:rFonts w:hint="eastAsia" w:ascii="华文仿宋" w:hAnsi="华文仿宋" w:eastAsia="华文仿宋" w:cs="华文仿宋"/>
                <w:bCs/>
                <w:color w:val="auto"/>
                <w:kern w:val="0"/>
                <w:sz w:val="24"/>
                <w:szCs w:val="24"/>
              </w:rPr>
              <w:t>销售管理费</w:t>
            </w:r>
            <w:r>
              <w:rPr>
                <w:rFonts w:hint="eastAsia" w:ascii="华文仿宋" w:hAnsi="华文仿宋" w:eastAsia="华文仿宋" w:cs="华文仿宋"/>
                <w:bCs/>
                <w:color w:val="auto"/>
                <w:kern w:val="0"/>
                <w:sz w:val="24"/>
                <w:szCs w:val="24"/>
                <w:lang w:val="en-US" w:eastAsia="zh-CN"/>
              </w:rPr>
              <w:t>0%/年、</w:t>
            </w:r>
            <w:r>
              <w:rPr>
                <w:rFonts w:hint="eastAsia" w:ascii="华文仿宋" w:hAnsi="华文仿宋" w:eastAsia="华文仿宋" w:cs="华文仿宋"/>
                <w:bCs/>
                <w:color w:val="auto"/>
                <w:kern w:val="0"/>
                <w:sz w:val="24"/>
                <w:szCs w:val="24"/>
                <w:lang w:eastAsia="zh-CN"/>
              </w:rPr>
              <w:t>产品</w:t>
            </w:r>
            <w:r>
              <w:rPr>
                <w:rFonts w:hint="eastAsia" w:ascii="华文仿宋" w:hAnsi="华文仿宋" w:eastAsia="华文仿宋" w:cs="华文仿宋"/>
                <w:bCs/>
                <w:color w:val="auto"/>
                <w:kern w:val="0"/>
                <w:sz w:val="24"/>
                <w:szCs w:val="24"/>
              </w:rPr>
              <w:t>托管费</w:t>
            </w:r>
            <w:r>
              <w:rPr>
                <w:rFonts w:hint="eastAsia" w:ascii="华文仿宋" w:hAnsi="华文仿宋" w:eastAsia="华文仿宋" w:cs="华文仿宋"/>
                <w:bCs/>
                <w:color w:val="auto"/>
                <w:kern w:val="0"/>
                <w:sz w:val="24"/>
                <w:szCs w:val="24"/>
                <w:lang w:val="en-US" w:eastAsia="zh-CN"/>
              </w:rPr>
              <w:t>0.01</w:t>
            </w:r>
            <w:r>
              <w:rPr>
                <w:rFonts w:hint="eastAsia" w:ascii="华文仿宋" w:hAnsi="华文仿宋" w:eastAsia="华文仿宋" w:cs="华文仿宋"/>
                <w:bCs/>
                <w:color w:val="auto"/>
                <w:kern w:val="0"/>
                <w:sz w:val="24"/>
                <w:szCs w:val="24"/>
              </w:rPr>
              <w:t>%/年、固定管理费</w:t>
            </w:r>
            <w:r>
              <w:rPr>
                <w:rFonts w:hint="eastAsia" w:ascii="华文仿宋" w:hAnsi="华文仿宋" w:eastAsia="华文仿宋" w:cs="华文仿宋"/>
                <w:bCs/>
                <w:color w:val="auto"/>
                <w:kern w:val="0"/>
                <w:sz w:val="24"/>
                <w:szCs w:val="24"/>
                <w:lang w:val="en-US" w:eastAsia="zh-CN"/>
              </w:rPr>
              <w:t>0.2</w:t>
            </w:r>
            <w:r>
              <w:rPr>
                <w:rFonts w:hint="eastAsia" w:ascii="华文仿宋" w:hAnsi="华文仿宋" w:eastAsia="华文仿宋" w:cs="华文仿宋"/>
                <w:bCs/>
                <w:color w:val="auto"/>
                <w:kern w:val="0"/>
                <w:sz w:val="24"/>
                <w:szCs w:val="24"/>
              </w:rPr>
              <w:t>%/年,按日计提，到期支付。</w:t>
            </w:r>
          </w:p>
          <w:p>
            <w:pPr>
              <w:widowControl/>
              <w:numPr>
                <w:ilvl w:val="0"/>
                <w:numId w:val="1"/>
              </w:numPr>
              <w:spacing w:line="400" w:lineRule="exact"/>
              <w:ind w:right="-107" w:rightChars="-51"/>
              <w:jc w:val="left"/>
              <w:rPr>
                <w:rFonts w:ascii="华文仿宋" w:hAnsi="华文仿宋" w:eastAsia="华文仿宋" w:cs="华文仿宋"/>
                <w:bCs/>
                <w:color w:val="auto"/>
                <w:kern w:val="0"/>
                <w:sz w:val="24"/>
                <w:szCs w:val="24"/>
              </w:rPr>
            </w:pPr>
            <w:r>
              <w:rPr>
                <w:rFonts w:hint="eastAsia" w:ascii="华文仿宋" w:hAnsi="华文仿宋" w:eastAsia="华文仿宋" w:cs="华文仿宋"/>
                <w:bCs/>
                <w:color w:val="auto"/>
                <w:kern w:val="0"/>
                <w:sz w:val="24"/>
                <w:szCs w:val="24"/>
              </w:rPr>
              <w:t>浮动管理费</w:t>
            </w:r>
            <w:r>
              <w:rPr>
                <w:rFonts w:hint="eastAsia" w:ascii="华文仿宋" w:hAnsi="华文仿宋" w:eastAsia="华文仿宋" w:cs="华文仿宋"/>
                <w:bCs/>
                <w:color w:val="auto"/>
                <w:kern w:val="0"/>
                <w:sz w:val="24"/>
                <w:szCs w:val="24"/>
                <w:lang w:eastAsia="zh-CN"/>
              </w:rPr>
              <w:t>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在本</w:t>
            </w:r>
            <w:r>
              <w:rPr>
                <w:rFonts w:hint="eastAsia" w:ascii="华文仿宋" w:hAnsi="华文仿宋" w:eastAsia="华文仿宋" w:cs="华文仿宋"/>
                <w:bCs/>
                <w:color w:val="auto"/>
                <w:kern w:val="0"/>
                <w:sz w:val="24"/>
                <w:szCs w:val="24"/>
              </w:rPr>
              <w:t>产品到期日或提前终止日，剔除销售管理费、托管费、固定管理费以及产品</w:t>
            </w:r>
            <w:r>
              <w:rPr>
                <w:rFonts w:hint="eastAsia" w:ascii="华文仿宋" w:hAnsi="华文仿宋" w:eastAsia="华文仿宋" w:cs="华文仿宋"/>
                <w:bCs/>
                <w:color w:val="auto"/>
                <w:kern w:val="0"/>
                <w:sz w:val="24"/>
                <w:szCs w:val="24"/>
                <w:lang w:eastAsia="zh-CN"/>
              </w:rPr>
              <w:t>应承担</w:t>
            </w:r>
            <w:r>
              <w:rPr>
                <w:rFonts w:hint="eastAsia" w:ascii="华文仿宋" w:hAnsi="华文仿宋" w:eastAsia="华文仿宋" w:cs="华文仿宋"/>
                <w:bCs/>
                <w:color w:val="auto"/>
                <w:kern w:val="0"/>
                <w:sz w:val="24"/>
                <w:szCs w:val="24"/>
              </w:rPr>
              <w:t>的增值税</w:t>
            </w:r>
            <w:r>
              <w:rPr>
                <w:rFonts w:hint="eastAsia" w:ascii="华文仿宋" w:hAnsi="华文仿宋" w:eastAsia="华文仿宋" w:cs="华文仿宋"/>
                <w:bCs/>
                <w:color w:val="auto"/>
                <w:kern w:val="0"/>
                <w:sz w:val="24"/>
                <w:szCs w:val="24"/>
                <w:lang w:eastAsia="zh-CN"/>
              </w:rPr>
              <w:t>及其</w:t>
            </w:r>
            <w:r>
              <w:rPr>
                <w:rFonts w:hint="eastAsia" w:ascii="华文仿宋" w:hAnsi="华文仿宋" w:eastAsia="华文仿宋" w:cs="华文仿宋"/>
                <w:bCs/>
                <w:color w:val="auto"/>
                <w:kern w:val="0"/>
                <w:sz w:val="24"/>
                <w:szCs w:val="24"/>
              </w:rPr>
              <w:t>附加</w:t>
            </w:r>
            <w:r>
              <w:rPr>
                <w:rFonts w:hint="eastAsia" w:ascii="华文仿宋" w:hAnsi="华文仿宋" w:eastAsia="华文仿宋" w:cs="华文仿宋"/>
                <w:bCs/>
                <w:color w:val="auto"/>
                <w:kern w:val="0"/>
                <w:sz w:val="24"/>
                <w:szCs w:val="24"/>
                <w:lang w:eastAsia="zh-CN"/>
              </w:rPr>
              <w:t>等相关</w:t>
            </w:r>
            <w:r>
              <w:rPr>
                <w:rFonts w:hint="eastAsia" w:ascii="华文仿宋" w:hAnsi="华文仿宋" w:eastAsia="华文仿宋" w:cs="华文仿宋"/>
                <w:bCs/>
                <w:color w:val="auto"/>
                <w:kern w:val="0"/>
                <w:sz w:val="24"/>
                <w:szCs w:val="24"/>
              </w:rPr>
              <w:t>税费后</w:t>
            </w:r>
            <w:r>
              <w:rPr>
                <w:rFonts w:hint="eastAsia" w:ascii="华文仿宋" w:hAnsi="华文仿宋" w:eastAsia="华文仿宋" w:cs="华文仿宋"/>
                <w:bCs/>
                <w:color w:val="auto"/>
                <w:kern w:val="0"/>
                <w:sz w:val="24"/>
                <w:szCs w:val="24"/>
                <w:lang w:eastAsia="zh-CN"/>
              </w:rPr>
              <w:t>，若投资收益</w:t>
            </w:r>
            <w:r>
              <w:rPr>
                <w:rFonts w:hint="eastAsia" w:ascii="华文仿宋" w:hAnsi="华文仿宋" w:eastAsia="华文仿宋" w:cs="华文仿宋"/>
                <w:bCs/>
                <w:color w:val="auto"/>
                <w:kern w:val="0"/>
                <w:sz w:val="24"/>
                <w:szCs w:val="24"/>
              </w:rPr>
              <w:t>超过业绩比较基准</w:t>
            </w:r>
            <w:r>
              <w:rPr>
                <w:rFonts w:hint="eastAsia" w:ascii="华文仿宋" w:hAnsi="华文仿宋" w:eastAsia="华文仿宋" w:cs="华文仿宋"/>
                <w:bCs/>
                <w:color w:val="auto"/>
                <w:kern w:val="0"/>
                <w:sz w:val="24"/>
                <w:szCs w:val="24"/>
                <w:lang w:val="en-US" w:eastAsia="zh-CN"/>
              </w:rPr>
              <w:t>4.5</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，则超出</w:t>
            </w:r>
            <w:r>
              <w:rPr>
                <w:rFonts w:hint="eastAsia" w:ascii="华文仿宋" w:hAnsi="华文仿宋" w:eastAsia="华文仿宋" w:cs="华文仿宋"/>
                <w:bCs/>
                <w:color w:val="auto"/>
                <w:kern w:val="0"/>
                <w:sz w:val="24"/>
                <w:szCs w:val="24"/>
              </w:rPr>
              <w:t>部分</w:t>
            </w:r>
            <w:r>
              <w:rPr>
                <w:rFonts w:hint="eastAsia" w:ascii="华文仿宋" w:hAnsi="华文仿宋" w:eastAsia="华文仿宋" w:cs="华文仿宋"/>
                <w:bCs/>
                <w:color w:val="auto"/>
                <w:kern w:val="0"/>
                <w:sz w:val="24"/>
                <w:szCs w:val="24"/>
                <w:lang w:eastAsia="zh-CN"/>
              </w:rPr>
              <w:t>均作为</w:t>
            </w:r>
            <w:r>
              <w:rPr>
                <w:rFonts w:hint="eastAsia" w:ascii="华文仿宋" w:hAnsi="华文仿宋" w:eastAsia="华文仿宋" w:cs="华文仿宋"/>
                <w:bCs/>
                <w:color w:val="auto"/>
                <w:kern w:val="0"/>
                <w:sz w:val="24"/>
                <w:szCs w:val="24"/>
              </w:rPr>
              <w:t>管理人</w:t>
            </w:r>
            <w:r>
              <w:rPr>
                <w:rFonts w:hint="eastAsia" w:ascii="华文仿宋" w:hAnsi="华文仿宋" w:eastAsia="华文仿宋" w:cs="华文仿宋"/>
                <w:bCs/>
                <w:color w:val="auto"/>
                <w:kern w:val="0"/>
                <w:sz w:val="24"/>
                <w:szCs w:val="24"/>
                <w:lang w:eastAsia="zh-CN"/>
              </w:rPr>
              <w:t>浮动管理费收取</w:t>
            </w:r>
            <w:r>
              <w:rPr>
                <w:rFonts w:hint="eastAsia" w:ascii="华文仿宋" w:hAnsi="华文仿宋" w:eastAsia="华文仿宋" w:cs="华文仿宋"/>
                <w:bCs/>
                <w:color w:val="auto"/>
                <w:kern w:val="0"/>
                <w:sz w:val="24"/>
                <w:szCs w:val="24"/>
              </w:rPr>
              <w:t>。</w:t>
            </w:r>
            <w:r>
              <w:rPr>
                <w:rFonts w:hint="eastAsia" w:ascii="华文仿宋" w:hAnsi="华文仿宋" w:eastAsia="华文仿宋" w:cs="华文仿宋"/>
                <w:bCs/>
                <w:color w:val="auto"/>
                <w:kern w:val="0"/>
                <w:sz w:val="24"/>
                <w:szCs w:val="24"/>
                <w:lang w:eastAsia="zh-CN"/>
              </w:rPr>
              <w:t>如</w:t>
            </w:r>
            <w:r>
              <w:rPr>
                <w:rFonts w:hint="eastAsia" w:ascii="华文仿宋" w:hAnsi="华文仿宋" w:eastAsia="华文仿宋" w:cs="华文仿宋"/>
                <w:bCs/>
                <w:color w:val="auto"/>
                <w:kern w:val="0"/>
                <w:sz w:val="24"/>
                <w:szCs w:val="24"/>
              </w:rPr>
              <w:t>低于业绩比较基准</w:t>
            </w:r>
            <w:r>
              <w:rPr>
                <w:rFonts w:hint="eastAsia" w:ascii="华文仿宋" w:hAnsi="华文仿宋" w:eastAsia="华文仿宋" w:cs="华文仿宋"/>
                <w:bCs/>
                <w:color w:val="auto"/>
                <w:kern w:val="0"/>
                <w:sz w:val="24"/>
                <w:szCs w:val="24"/>
                <w:lang w:val="en-US" w:eastAsia="zh-CN"/>
              </w:rPr>
              <w:t>4.5</w:t>
            </w:r>
            <w:r>
              <w:rPr>
                <w:rFonts w:hint="eastAsia" w:ascii="华文仿宋" w:hAnsi="华文仿宋" w:eastAsia="华文仿宋" w:cs="华文仿宋"/>
                <w:bCs/>
                <w:color w:val="auto"/>
                <w:kern w:val="0"/>
                <w:sz w:val="24"/>
                <w:szCs w:val="24"/>
              </w:rPr>
              <w:t>%(含)</w:t>
            </w:r>
            <w:r>
              <w:rPr>
                <w:rFonts w:hint="eastAsia" w:ascii="华文仿宋" w:hAnsi="华文仿宋" w:eastAsia="华文仿宋" w:cs="华文仿宋"/>
                <w:bCs/>
                <w:color w:val="auto"/>
                <w:kern w:val="0"/>
                <w:sz w:val="24"/>
                <w:szCs w:val="24"/>
                <w:lang w:eastAsia="zh-CN"/>
              </w:rPr>
              <w:t>，不收取浮动管理费。</w:t>
            </w:r>
          </w:p>
          <w:p>
            <w:pPr>
              <w:widowControl/>
              <w:numPr>
                <w:ilvl w:val="0"/>
                <w:numId w:val="1"/>
              </w:numPr>
              <w:spacing w:line="400" w:lineRule="exact"/>
              <w:ind w:right="-107" w:rightChars="-51"/>
              <w:jc w:val="left"/>
              <w:rPr>
                <w:rFonts w:ascii="华文仿宋" w:hAnsi="华文仿宋" w:eastAsia="华文仿宋" w:cs="华文仿宋"/>
                <w:bCs/>
                <w:kern w:val="0"/>
                <w:sz w:val="24"/>
                <w:szCs w:val="24"/>
              </w:rPr>
            </w:pPr>
            <w:r>
              <w:rPr>
                <w:rFonts w:hint="eastAsia" w:ascii="华文仿宋" w:hAnsi="华文仿宋" w:eastAsia="华文仿宋" w:cs="华文仿宋"/>
                <w:bCs/>
                <w:color w:val="auto"/>
                <w:kern w:val="0"/>
                <w:sz w:val="24"/>
                <w:szCs w:val="24"/>
              </w:rPr>
              <w:t>本产品运作和清算中产生的其他资金汇划费、结算费、交易手续费、注册</w:t>
            </w:r>
            <w:r>
              <w:rPr>
                <w:rFonts w:hint="eastAsia" w:ascii="华文仿宋" w:hAnsi="华文仿宋" w:eastAsia="华文仿宋" w:cs="华文仿宋"/>
                <w:bCs/>
                <w:kern w:val="0"/>
                <w:sz w:val="24"/>
                <w:szCs w:val="24"/>
              </w:rPr>
              <w:t>登记费、信息披露费、账户服务费、审计费和律师费等，按照实际发生时从产品中列支。</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color w:val="000000"/>
                <w:kern w:val="0"/>
                <w:sz w:val="24"/>
                <w:szCs w:val="24"/>
              </w:rPr>
              <w:t>4.对于理财产品费用的费率，</w:t>
            </w:r>
            <w:r>
              <w:rPr>
                <w:rFonts w:hint="eastAsia" w:ascii="华文仿宋" w:hAnsi="华文仿宋" w:eastAsia="华文仿宋" w:cs="华文仿宋"/>
                <w:bCs/>
                <w:color w:val="000000"/>
                <w:kern w:val="0"/>
                <w:sz w:val="24"/>
                <w:szCs w:val="24"/>
                <w:lang w:eastAsia="zh-CN"/>
              </w:rPr>
              <w:t>本产品存续期内，</w:t>
            </w:r>
            <w:r>
              <w:rPr>
                <w:rFonts w:hint="eastAsia" w:ascii="华文仿宋" w:hAnsi="华文仿宋" w:eastAsia="华文仿宋" w:cs="华文仿宋"/>
                <w:bCs/>
                <w:color w:val="000000"/>
                <w:kern w:val="0"/>
                <w:sz w:val="24"/>
                <w:szCs w:val="24"/>
              </w:rPr>
              <w:t>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提前终止权</w:t>
            </w:r>
          </w:p>
        </w:tc>
        <w:tc>
          <w:tcPr>
            <w:tcW w:w="8048" w:type="dxa"/>
            <w:vAlign w:val="center"/>
          </w:tcPr>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1.本理财产品不对投资者提供提前终止权，新疆银行有权在提前终止日行使提前终止权，终止此产品。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2.产品存续期内，如出现《协议》约定的情况，新疆银行有权但无义务提前终止本理财产品。</w:t>
            </w:r>
          </w:p>
          <w:p>
            <w:pPr>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对账单</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投资人同意通过新疆银行官方</w:t>
            </w:r>
            <w:r>
              <w:rPr>
                <w:rFonts w:hint="eastAsia" w:ascii="华文仿宋" w:hAnsi="华文仿宋" w:eastAsia="华文仿宋" w:cs="华文仿宋"/>
                <w:bCs/>
                <w:kern w:val="0"/>
                <w:sz w:val="24"/>
                <w:szCs w:val="24"/>
                <w:lang w:eastAsia="zh-CN"/>
              </w:rPr>
              <w:t>网站</w:t>
            </w:r>
            <w:r>
              <w:rPr>
                <w:rFonts w:hint="eastAsia" w:ascii="华文仿宋" w:hAnsi="华文仿宋" w:eastAsia="华文仿宋" w:cs="华文仿宋"/>
                <w:kern w:val="0"/>
                <w:sz w:val="24"/>
                <w:szCs w:val="24"/>
              </w:rPr>
              <w:t>（www.xjbank.com）</w:t>
            </w:r>
            <w:r>
              <w:rPr>
                <w:rFonts w:hint="eastAsia" w:ascii="华文仿宋" w:hAnsi="华文仿宋" w:eastAsia="华文仿宋" w:cs="华文仿宋"/>
                <w:bCs/>
                <w:kern w:val="0"/>
                <w:sz w:val="24"/>
                <w:szCs w:val="24"/>
              </w:rPr>
              <w:t>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bCs/>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spacing w:line="400" w:lineRule="exact"/>
              <w:jc w:val="left"/>
              <w:rPr>
                <w:rFonts w:ascii="华文仿宋" w:hAnsi="华文仿宋" w:eastAsia="华文仿宋" w:cs="华文仿宋"/>
                <w:sz w:val="24"/>
                <w:szCs w:val="24"/>
              </w:rPr>
            </w:pPr>
            <w:r>
              <w:rPr>
                <w:rFonts w:hint="eastAsia" w:ascii="华文仿宋" w:hAnsi="华文仿宋" w:eastAsia="华文仿宋" w:cs="华文仿宋"/>
                <w:kern w:val="0"/>
                <w:sz w:val="24"/>
                <w:szCs w:val="24"/>
                <w:highlight w:val="none"/>
              </w:rPr>
              <w:t>本理财</w:t>
            </w:r>
            <w:r>
              <w:rPr>
                <w:rFonts w:hint="eastAsia" w:ascii="华文仿宋" w:hAnsi="华文仿宋" w:eastAsia="华文仿宋" w:cs="华文仿宋"/>
                <w:kern w:val="0"/>
                <w:sz w:val="24"/>
                <w:szCs w:val="24"/>
                <w:highlight w:val="none"/>
                <w:lang w:eastAsia="zh-CN"/>
              </w:rPr>
              <w:t>只能通过我行营业网点进行</w:t>
            </w:r>
            <w:r>
              <w:rPr>
                <w:rFonts w:hint="eastAsia" w:ascii="华文仿宋" w:hAnsi="华文仿宋" w:eastAsia="华文仿宋" w:cs="华文仿宋"/>
                <w:kern w:val="0"/>
                <w:sz w:val="24"/>
                <w:szCs w:val="24"/>
                <w:highlight w:val="none"/>
              </w:rPr>
              <w:t>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spacing w:line="400" w:lineRule="exact"/>
              <w:ind w:right="-107" w:rightChars="-51"/>
              <w:jc w:val="left"/>
              <w:rPr>
                <w:rFonts w:hint="eastAsia" w:ascii="华文仿宋" w:hAnsi="华文仿宋" w:eastAsia="华文仿宋" w:cs="华文仿宋"/>
                <w:kern w:val="0"/>
                <w:sz w:val="24"/>
                <w:szCs w:val="24"/>
                <w:lang w:eastAsia="zh-CN"/>
              </w:rPr>
            </w:pPr>
            <w:r>
              <w:rPr>
                <w:rFonts w:hint="eastAsia" w:ascii="华文仿宋" w:hAnsi="华文仿宋" w:eastAsia="华文仿宋" w:cs="华文仿宋"/>
                <w:kern w:val="0"/>
                <w:sz w:val="24"/>
                <w:szCs w:val="24"/>
                <w:lang w:eastAsia="zh-CN"/>
              </w:rPr>
              <w:t>宁波银行股份有限公司</w:t>
            </w:r>
          </w:p>
        </w:tc>
      </w:tr>
    </w:tbl>
    <w:p>
      <w:pPr>
        <w:spacing w:line="380" w:lineRule="exact"/>
        <w:ind w:firstLine="480" w:firstLineChars="200"/>
        <w:jc w:val="left"/>
        <w:rPr>
          <w:rFonts w:hint="eastAsia" w:ascii="华文仿宋" w:hAnsi="华文仿宋" w:eastAsia="华文仿宋" w:cs="华文仿宋"/>
          <w:kern w:val="0"/>
          <w:sz w:val="24"/>
          <w:szCs w:val="24"/>
          <w:highlight w:val="none"/>
        </w:rPr>
      </w:pPr>
      <w:r>
        <w:rPr>
          <w:rStyle w:val="10"/>
          <w:rFonts w:hint="eastAsia" w:ascii="华文仿宋" w:hAnsi="华文仿宋" w:eastAsia="华文仿宋" w:cs="华文仿宋"/>
          <w:kern w:val="0"/>
          <w:sz w:val="24"/>
          <w:szCs w:val="24"/>
        </w:rPr>
        <w:t>二、投资范围</w:t>
      </w:r>
    </w:p>
    <w:p>
      <w:pPr>
        <w:keepNext w:val="0"/>
        <w:keepLines w:val="0"/>
        <w:pageBreakBefore w:val="0"/>
        <w:numPr>
          <w:ilvl w:val="0"/>
          <w:numId w:val="0"/>
        </w:numPr>
        <w:kinsoku/>
        <w:overflowPunct/>
        <w:topLinePunct w:val="0"/>
        <w:autoSpaceDE/>
        <w:autoSpaceDN/>
        <w:bidi w:val="0"/>
        <w:adjustRightInd/>
        <w:snapToGrid/>
        <w:spacing w:line="380" w:lineRule="exact"/>
        <w:ind w:firstLine="240" w:firstLineChars="100"/>
        <w:jc w:val="both"/>
        <w:textAlignment w:val="auto"/>
        <w:rPr>
          <w:rFonts w:hint="eastAsia" w:ascii="华文仿宋" w:hAnsi="华文仿宋" w:eastAsia="华文仿宋" w:cs="华文仿宋"/>
          <w:kern w:val="0"/>
          <w:sz w:val="24"/>
          <w:szCs w:val="24"/>
          <w:highlight w:val="none"/>
          <w:lang w:val="en-US" w:eastAsia="zh-CN"/>
        </w:rPr>
      </w:pPr>
      <w:r>
        <w:rPr>
          <w:rFonts w:hint="eastAsia" w:ascii="华文仿宋" w:hAnsi="华文仿宋" w:eastAsia="华文仿宋" w:cs="华文仿宋"/>
          <w:b/>
          <w:bCs/>
          <w:kern w:val="0"/>
          <w:sz w:val="24"/>
          <w:szCs w:val="24"/>
          <w:lang w:val="en-US" w:eastAsia="zh-CN"/>
        </w:rPr>
        <w:t>（一）</w:t>
      </w:r>
      <w:r>
        <w:rPr>
          <w:rFonts w:hint="eastAsia" w:ascii="华文仿宋" w:hAnsi="华文仿宋" w:eastAsia="华文仿宋" w:cs="华文仿宋"/>
          <w:kern w:val="0"/>
          <w:sz w:val="24"/>
          <w:szCs w:val="24"/>
          <w:highlight w:val="none"/>
          <w:lang w:val="en-US" w:eastAsia="zh-CN"/>
        </w:rPr>
        <w:t>流动性较高的现金类资产、货币市场工具。</w:t>
      </w:r>
    </w:p>
    <w:p>
      <w:pPr>
        <w:keepNext w:val="0"/>
        <w:keepLines w:val="0"/>
        <w:pageBreakBefore w:val="0"/>
        <w:numPr>
          <w:ilvl w:val="0"/>
          <w:numId w:val="0"/>
        </w:numPr>
        <w:kinsoku/>
        <w:overflowPunct/>
        <w:topLinePunct w:val="0"/>
        <w:autoSpaceDE/>
        <w:autoSpaceDN/>
        <w:bidi w:val="0"/>
        <w:adjustRightInd/>
        <w:snapToGrid/>
        <w:spacing w:line="380" w:lineRule="exact"/>
        <w:ind w:firstLine="240" w:firstLineChars="100"/>
        <w:jc w:val="both"/>
        <w:textAlignment w:val="auto"/>
        <w:rPr>
          <w:rFonts w:hint="eastAsia" w:ascii="华文仿宋" w:hAnsi="华文仿宋" w:eastAsia="华文仿宋" w:cs="华文仿宋"/>
          <w:kern w:val="0"/>
          <w:sz w:val="24"/>
          <w:szCs w:val="24"/>
          <w:highlight w:val="yellow"/>
          <w:lang w:val="en-US" w:eastAsia="zh-CN"/>
        </w:rPr>
      </w:pPr>
      <w:r>
        <w:rPr>
          <w:rFonts w:hint="eastAsia" w:ascii="华文仿宋" w:hAnsi="华文仿宋" w:eastAsia="华文仿宋" w:cs="华文仿宋"/>
          <w:b/>
          <w:bCs/>
          <w:kern w:val="0"/>
          <w:sz w:val="24"/>
          <w:szCs w:val="24"/>
          <w:highlight w:val="none"/>
          <w:lang w:val="en-US" w:eastAsia="zh-CN"/>
        </w:rPr>
        <w:t>（二）</w:t>
      </w:r>
      <w:r>
        <w:rPr>
          <w:rFonts w:hint="eastAsia" w:ascii="华文仿宋" w:hAnsi="华文仿宋" w:eastAsia="华文仿宋" w:cs="华文仿宋"/>
          <w:kern w:val="0"/>
          <w:sz w:val="24"/>
          <w:szCs w:val="24"/>
          <w:highlight w:val="none"/>
          <w:lang w:val="en-US" w:eastAsia="zh-CN"/>
        </w:rPr>
        <w:t>主要投资于符合国家监管要求和我行准入及投资要求的公司债、企业债。</w:t>
      </w:r>
    </w:p>
    <w:p>
      <w:pPr>
        <w:keepNext w:val="0"/>
        <w:keepLines w:val="0"/>
        <w:pageBreakBefore w:val="0"/>
        <w:numPr>
          <w:ilvl w:val="0"/>
          <w:numId w:val="0"/>
        </w:numPr>
        <w:kinsoku/>
        <w:overflowPunct/>
        <w:topLinePunct w:val="0"/>
        <w:autoSpaceDE/>
        <w:autoSpaceDN/>
        <w:bidi w:val="0"/>
        <w:adjustRightInd/>
        <w:snapToGrid/>
        <w:spacing w:line="380" w:lineRule="exact"/>
        <w:ind w:firstLine="480" w:firstLineChars="200"/>
        <w:jc w:val="both"/>
        <w:textAlignment w:val="auto"/>
        <w:rPr>
          <w:rFonts w:ascii="华文仿宋" w:hAnsi="华文仿宋" w:eastAsia="华文仿宋" w:cs="华文仿宋"/>
          <w:b/>
          <w:bCs/>
          <w:kern w:val="0"/>
          <w:sz w:val="24"/>
          <w:szCs w:val="24"/>
        </w:rPr>
      </w:pPr>
      <w:r>
        <w:rPr>
          <w:rFonts w:hint="eastAsia" w:ascii="华文仿宋" w:hAnsi="华文仿宋" w:eastAsia="华文仿宋" w:cs="华文仿宋"/>
          <w:kern w:val="0"/>
          <w:sz w:val="24"/>
          <w:szCs w:val="24"/>
          <w:highlight w:val="none"/>
          <w:lang w:val="en-US" w:eastAsia="zh-CN"/>
        </w:rPr>
        <w:t>新疆银行秉承价值投资的理念，通过资产组合管理实现本产品安全性、流动性与收益性的平衡。</w:t>
      </w:r>
      <w:r>
        <w:rPr>
          <w:rFonts w:hint="default" w:ascii="华文仿宋" w:hAnsi="华文仿宋" w:eastAsia="华文仿宋" w:cs="华文仿宋"/>
          <w:kern w:val="0"/>
          <w:sz w:val="24"/>
          <w:szCs w:val="24"/>
          <w:highlight w:val="none"/>
          <w:lang w:val="en-US" w:eastAsia="zh-CN"/>
        </w:rPr>
        <w:t xml:space="preserve"> </w:t>
      </w:r>
    </w:p>
    <w:p>
      <w:pPr>
        <w:keepNext w:val="0"/>
        <w:keepLines w:val="0"/>
        <w:pageBreakBefore w:val="0"/>
        <w:numPr>
          <w:ilvl w:val="0"/>
          <w:numId w:val="0"/>
        </w:numPr>
        <w:kinsoku/>
        <w:overflowPunct/>
        <w:topLinePunct w:val="0"/>
        <w:autoSpaceDE/>
        <w:autoSpaceDN/>
        <w:bidi w:val="0"/>
        <w:adjustRightInd/>
        <w:snapToGrid/>
        <w:spacing w:line="380" w:lineRule="exact"/>
        <w:ind w:firstLine="480" w:firstLineChars="200"/>
        <w:jc w:val="both"/>
        <w:textAlignment w:val="auto"/>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lang w:eastAsia="zh-CN"/>
        </w:rPr>
        <w:t>三、</w:t>
      </w:r>
      <w:r>
        <w:rPr>
          <w:rFonts w:hint="eastAsia" w:ascii="华文仿宋" w:hAnsi="华文仿宋" w:eastAsia="华文仿宋" w:cs="华文仿宋"/>
          <w:b/>
          <w:bCs/>
          <w:kern w:val="0"/>
          <w:sz w:val="24"/>
          <w:szCs w:val="24"/>
        </w:rPr>
        <w:t>产品的估值</w:t>
      </w:r>
    </w:p>
    <w:p>
      <w:pPr>
        <w:keepNext w:val="0"/>
        <w:keepLines w:val="0"/>
        <w:pageBreakBefore w:val="0"/>
        <w:kinsoku/>
        <w:overflowPunct/>
        <w:topLinePunct w:val="0"/>
        <w:autoSpaceDE/>
        <w:autoSpaceDN/>
        <w:bidi w:val="0"/>
        <w:adjustRightInd/>
        <w:snapToGrid/>
        <w:spacing w:line="380" w:lineRule="exact"/>
        <w:ind w:firstLine="240" w:firstLineChars="100"/>
        <w:jc w:val="both"/>
        <w:textAlignment w:val="auto"/>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（一）估值日</w:t>
      </w:r>
    </w:p>
    <w:p>
      <w:pPr>
        <w:keepNext w:val="0"/>
        <w:keepLines w:val="0"/>
        <w:pageBreakBefore w:val="0"/>
        <w:kinsoku/>
        <w:overflowPunct/>
        <w:topLinePunct w:val="0"/>
        <w:autoSpaceDE/>
        <w:autoSpaceDN/>
        <w:bidi w:val="0"/>
        <w:adjustRightInd/>
        <w:snapToGrid/>
        <w:spacing w:line="380" w:lineRule="exact"/>
        <w:ind w:firstLine="240" w:firstLineChars="100"/>
        <w:jc w:val="both"/>
        <w:textAlignment w:val="auto"/>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本理财产品估值日为存续期间除了周六、周日和中国法定假日的工作日。</w:t>
      </w:r>
    </w:p>
    <w:p>
      <w:pPr>
        <w:keepNext w:val="0"/>
        <w:keepLines w:val="0"/>
        <w:pageBreakBefore w:val="0"/>
        <w:kinsoku/>
        <w:overflowPunct/>
        <w:topLinePunct w:val="0"/>
        <w:autoSpaceDE/>
        <w:autoSpaceDN/>
        <w:bidi w:val="0"/>
        <w:adjustRightInd/>
        <w:snapToGrid/>
        <w:spacing w:line="380" w:lineRule="exact"/>
        <w:ind w:firstLine="240" w:firstLineChars="100"/>
        <w:jc w:val="both"/>
        <w:textAlignment w:val="auto"/>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（二）估值对象</w:t>
      </w:r>
    </w:p>
    <w:p>
      <w:pPr>
        <w:keepNext w:val="0"/>
        <w:keepLines w:val="0"/>
        <w:pageBreakBefore w:val="0"/>
        <w:kinsoku/>
        <w:overflowPunct/>
        <w:topLinePunct w:val="0"/>
        <w:autoSpaceDE/>
        <w:autoSpaceDN/>
        <w:bidi w:val="0"/>
        <w:adjustRightInd/>
        <w:snapToGrid/>
        <w:spacing w:line="380" w:lineRule="exact"/>
        <w:ind w:firstLine="240" w:firstLineChars="100"/>
        <w:jc w:val="both"/>
        <w:textAlignment w:val="auto"/>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keepNext w:val="0"/>
        <w:keepLines w:val="0"/>
        <w:pageBreakBefore w:val="0"/>
        <w:kinsoku/>
        <w:overflowPunct/>
        <w:topLinePunct w:val="0"/>
        <w:autoSpaceDE/>
        <w:autoSpaceDN/>
        <w:bidi w:val="0"/>
        <w:adjustRightInd/>
        <w:snapToGrid/>
        <w:spacing w:line="380" w:lineRule="exact"/>
        <w:ind w:firstLine="240" w:firstLineChars="100"/>
        <w:jc w:val="both"/>
        <w:textAlignment w:val="auto"/>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（三）估值方法</w:t>
      </w:r>
    </w:p>
    <w:p>
      <w:pPr>
        <w:keepNext w:val="0"/>
        <w:keepLines w:val="0"/>
        <w:pageBreakBefore w:val="0"/>
        <w:numPr>
          <w:ilvl w:val="0"/>
          <w:numId w:val="0"/>
        </w:numPr>
        <w:kinsoku/>
        <w:overflowPunct/>
        <w:topLinePunct w:val="0"/>
        <w:autoSpaceDE/>
        <w:autoSpaceDN/>
        <w:bidi w:val="0"/>
        <w:adjustRightInd/>
        <w:snapToGrid/>
        <w:spacing w:line="380" w:lineRule="exact"/>
        <w:ind w:firstLine="480" w:firstLineChars="200"/>
        <w:jc w:val="both"/>
        <w:textAlignment w:val="auto"/>
        <w:rPr>
          <w:rFonts w:hint="eastAsia" w:ascii="华文仿宋" w:hAnsi="华文仿宋" w:eastAsia="华文仿宋" w:cs="华文仿宋"/>
          <w:kern w:val="0"/>
          <w:sz w:val="24"/>
          <w:szCs w:val="24"/>
          <w:highlight w:val="none"/>
          <w:lang w:val="en-US" w:eastAsia="zh-CN"/>
        </w:rPr>
      </w:pPr>
      <w:r>
        <w:rPr>
          <w:rFonts w:hint="eastAsia" w:ascii="华文仿宋" w:hAnsi="华文仿宋" w:eastAsia="华文仿宋" w:cs="华文仿宋"/>
          <w:kern w:val="0"/>
          <w:sz w:val="24"/>
          <w:szCs w:val="24"/>
          <w:highlight w:val="none"/>
          <w:lang w:val="en-US" w:eastAsia="zh-CN"/>
        </w:rPr>
        <w:t>1.本期产品主要投资于交易所发行的不活跃公司债券，以收取合同现金流量为目的并持有至到期，按照监管规定及会计准则，使用摊余成本法估值。</w:t>
      </w:r>
    </w:p>
    <w:p>
      <w:pPr>
        <w:keepNext w:val="0"/>
        <w:keepLines w:val="0"/>
        <w:pageBreakBefore w:val="0"/>
        <w:numPr>
          <w:ilvl w:val="0"/>
          <w:numId w:val="0"/>
        </w:numPr>
        <w:kinsoku/>
        <w:overflowPunct/>
        <w:topLinePunct w:val="0"/>
        <w:autoSpaceDE/>
        <w:autoSpaceDN/>
        <w:bidi w:val="0"/>
        <w:adjustRightInd/>
        <w:snapToGrid/>
        <w:spacing w:line="380" w:lineRule="exact"/>
        <w:ind w:firstLine="480" w:firstLineChars="200"/>
        <w:jc w:val="both"/>
        <w:textAlignment w:val="auto"/>
        <w:rPr>
          <w:rFonts w:hint="eastAsia" w:ascii="华文仿宋" w:hAnsi="华文仿宋" w:eastAsia="华文仿宋" w:cs="华文仿宋"/>
          <w:kern w:val="0"/>
          <w:sz w:val="24"/>
          <w:szCs w:val="24"/>
          <w:highlight w:val="none"/>
          <w:lang w:val="en-US" w:eastAsia="zh-CN"/>
        </w:rPr>
      </w:pPr>
      <w:r>
        <w:rPr>
          <w:rFonts w:hint="default" w:ascii="华文仿宋" w:hAnsi="华文仿宋" w:eastAsia="华文仿宋" w:cs="华文仿宋"/>
          <w:kern w:val="0"/>
          <w:sz w:val="24"/>
          <w:szCs w:val="24"/>
          <w:highlight w:val="none"/>
          <w:lang w:val="en-US" w:eastAsia="zh-CN"/>
        </w:rPr>
        <w:t>2</w:t>
      </w:r>
      <w:r>
        <w:rPr>
          <w:rFonts w:hint="eastAsia" w:ascii="华文仿宋" w:hAnsi="华文仿宋" w:eastAsia="华文仿宋" w:cs="华文仿宋"/>
          <w:kern w:val="0"/>
          <w:sz w:val="24"/>
          <w:szCs w:val="24"/>
          <w:highlight w:val="none"/>
          <w:lang w:val="en-US" w:eastAsia="zh-CN"/>
        </w:rPr>
        <w:t>.</w:t>
      </w:r>
      <w:r>
        <w:rPr>
          <w:rFonts w:hint="default" w:ascii="华文仿宋" w:hAnsi="华文仿宋" w:eastAsia="华文仿宋" w:cs="华文仿宋"/>
          <w:kern w:val="0"/>
          <w:sz w:val="24"/>
          <w:szCs w:val="24"/>
          <w:highlight w:val="none"/>
          <w:lang w:val="en-US" w:eastAsia="zh-CN"/>
        </w:rPr>
        <w:t>其他在</w:t>
      </w:r>
      <w:r>
        <w:rPr>
          <w:rFonts w:hint="eastAsia" w:ascii="华文仿宋" w:hAnsi="华文仿宋" w:eastAsia="华文仿宋" w:cs="华文仿宋"/>
          <w:kern w:val="0"/>
          <w:sz w:val="24"/>
          <w:szCs w:val="24"/>
          <w:highlight w:val="none"/>
          <w:lang w:val="en-US" w:eastAsia="zh-CN"/>
        </w:rPr>
        <w:t>交易所、银行间市场交易的债券</w:t>
      </w:r>
      <w:r>
        <w:rPr>
          <w:rFonts w:hint="default" w:ascii="华文仿宋" w:hAnsi="华文仿宋" w:eastAsia="华文仿宋" w:cs="华文仿宋"/>
          <w:kern w:val="0"/>
          <w:sz w:val="24"/>
          <w:szCs w:val="24"/>
          <w:highlight w:val="none"/>
          <w:lang w:val="en-US" w:eastAsia="zh-CN"/>
        </w:rPr>
        <w:t>等</w:t>
      </w:r>
      <w:r>
        <w:rPr>
          <w:rFonts w:hint="eastAsia" w:ascii="华文仿宋" w:hAnsi="华文仿宋" w:eastAsia="华文仿宋" w:cs="华文仿宋"/>
          <w:kern w:val="0"/>
          <w:sz w:val="24"/>
          <w:szCs w:val="24"/>
          <w:highlight w:val="none"/>
          <w:lang w:val="en-US" w:eastAsia="zh-CN"/>
        </w:rPr>
        <w:t>固定收益类资产，原则上按市价法估值；对以收取合同现金流量为目的并持有至到期的资产，在满足监管要求及会计准则的情况下，可使用摊余成本法估值。</w:t>
      </w:r>
      <w:r>
        <w:rPr>
          <w:rFonts w:hint="default" w:ascii="华文仿宋" w:hAnsi="华文仿宋" w:eastAsia="华文仿宋" w:cs="华文仿宋"/>
          <w:kern w:val="0"/>
          <w:sz w:val="24"/>
          <w:szCs w:val="24"/>
          <w:highlight w:val="none"/>
          <w:lang w:val="en-US" w:eastAsia="zh-CN"/>
        </w:rPr>
        <w:t xml:space="preserve"> </w:t>
      </w:r>
    </w:p>
    <w:p>
      <w:pPr>
        <w:keepNext w:val="0"/>
        <w:keepLines w:val="0"/>
        <w:pageBreakBefore w:val="0"/>
        <w:numPr>
          <w:ilvl w:val="0"/>
          <w:numId w:val="0"/>
        </w:numPr>
        <w:kinsoku/>
        <w:overflowPunct/>
        <w:topLinePunct w:val="0"/>
        <w:autoSpaceDE/>
        <w:autoSpaceDN/>
        <w:bidi w:val="0"/>
        <w:adjustRightInd/>
        <w:snapToGrid/>
        <w:spacing w:line="380" w:lineRule="exact"/>
        <w:ind w:firstLine="480" w:firstLineChars="200"/>
        <w:jc w:val="both"/>
        <w:textAlignment w:val="auto"/>
        <w:rPr>
          <w:rFonts w:hint="eastAsia" w:ascii="华文仿宋" w:hAnsi="华文仿宋" w:eastAsia="华文仿宋" w:cs="华文仿宋"/>
          <w:kern w:val="0"/>
          <w:sz w:val="24"/>
          <w:szCs w:val="24"/>
          <w:highlight w:val="none"/>
          <w:lang w:val="en-US" w:eastAsia="zh-CN"/>
        </w:rPr>
      </w:pPr>
      <w:r>
        <w:rPr>
          <w:rFonts w:hint="default" w:ascii="华文仿宋" w:hAnsi="华文仿宋" w:eastAsia="华文仿宋" w:cs="华文仿宋"/>
          <w:kern w:val="0"/>
          <w:sz w:val="24"/>
          <w:szCs w:val="24"/>
          <w:highlight w:val="none"/>
          <w:lang w:val="en-US" w:eastAsia="zh-CN"/>
        </w:rPr>
        <w:t>3</w:t>
      </w:r>
      <w:r>
        <w:rPr>
          <w:rFonts w:hint="eastAsia" w:ascii="华文仿宋" w:hAnsi="华文仿宋" w:eastAsia="华文仿宋" w:cs="华文仿宋"/>
          <w:kern w:val="0"/>
          <w:sz w:val="24"/>
          <w:szCs w:val="24"/>
          <w:highlight w:val="none"/>
          <w:lang w:val="en-US" w:eastAsia="zh-CN"/>
        </w:rPr>
        <w:t>.</w:t>
      </w:r>
      <w:r>
        <w:rPr>
          <w:rFonts w:hint="default" w:ascii="华文仿宋" w:hAnsi="华文仿宋" w:eastAsia="华文仿宋" w:cs="华文仿宋"/>
          <w:kern w:val="0"/>
          <w:sz w:val="24"/>
          <w:szCs w:val="24"/>
          <w:highlight w:val="none"/>
          <w:lang w:val="en-US" w:eastAsia="zh-CN"/>
        </w:rPr>
        <w:t xml:space="preserve">存款、回购等现金类资产按成本估值，逐日计提利息。 </w:t>
      </w:r>
    </w:p>
    <w:p>
      <w:pPr>
        <w:keepNext w:val="0"/>
        <w:keepLines w:val="0"/>
        <w:pageBreakBefore w:val="0"/>
        <w:numPr>
          <w:ilvl w:val="0"/>
          <w:numId w:val="0"/>
        </w:numPr>
        <w:kinsoku/>
        <w:overflowPunct/>
        <w:topLinePunct w:val="0"/>
        <w:autoSpaceDE/>
        <w:autoSpaceDN/>
        <w:bidi w:val="0"/>
        <w:adjustRightInd/>
        <w:snapToGrid/>
        <w:spacing w:line="380" w:lineRule="exact"/>
        <w:ind w:firstLine="480" w:firstLineChars="200"/>
        <w:jc w:val="both"/>
        <w:textAlignment w:val="auto"/>
        <w:rPr>
          <w:rFonts w:ascii="华文仿宋" w:hAnsi="华文仿宋" w:eastAsia="华文仿宋" w:cs="华文仿宋"/>
          <w:kern w:val="0"/>
          <w:sz w:val="24"/>
          <w:szCs w:val="24"/>
          <w:highlight w:val="none"/>
        </w:rPr>
      </w:pPr>
      <w:r>
        <w:rPr>
          <w:rFonts w:hint="eastAsia" w:ascii="华文仿宋" w:hAnsi="华文仿宋" w:eastAsia="华文仿宋" w:cs="华文仿宋"/>
          <w:kern w:val="0"/>
          <w:sz w:val="24"/>
          <w:szCs w:val="24"/>
          <w:highlight w:val="none"/>
          <w:lang w:val="en-US" w:eastAsia="zh-CN"/>
        </w:rPr>
        <w:t>4.货币基金以基金管理人公布的最新净值估值。</w:t>
      </w:r>
      <w:r>
        <w:rPr>
          <w:rFonts w:hint="default" w:ascii="华文仿宋" w:hAnsi="华文仿宋" w:eastAsia="华文仿宋" w:cs="华文仿宋"/>
          <w:kern w:val="0"/>
          <w:sz w:val="24"/>
          <w:szCs w:val="24"/>
          <w:highlight w:val="none"/>
          <w:lang w:val="en-US" w:eastAsia="zh-CN"/>
        </w:rPr>
        <w:t xml:space="preserve"> </w:t>
      </w:r>
    </w:p>
    <w:p>
      <w:pPr>
        <w:keepNext w:val="0"/>
        <w:keepLines w:val="0"/>
        <w:pageBreakBefore w:val="0"/>
        <w:kinsoku/>
        <w:overflowPunct/>
        <w:topLinePunct w:val="0"/>
        <w:autoSpaceDE/>
        <w:autoSpaceDN/>
        <w:bidi w:val="0"/>
        <w:adjustRightInd/>
        <w:snapToGrid/>
        <w:spacing w:line="380" w:lineRule="exact"/>
        <w:ind w:firstLine="240" w:firstLineChars="100"/>
        <w:jc w:val="both"/>
        <w:textAlignment w:val="auto"/>
        <w:rPr>
          <w:rFonts w:ascii="华文仿宋" w:hAnsi="华文仿宋" w:eastAsia="华文仿宋" w:cs="华文仿宋"/>
          <w:kern w:val="0"/>
          <w:sz w:val="24"/>
          <w:szCs w:val="24"/>
        </w:rPr>
      </w:pPr>
      <w:r>
        <w:rPr>
          <w:rFonts w:hint="eastAsia" w:ascii="华文仿宋" w:hAnsi="华文仿宋" w:eastAsia="华文仿宋" w:cs="华文仿宋"/>
          <w:b/>
          <w:bCs/>
          <w:kern w:val="0"/>
          <w:sz w:val="24"/>
          <w:szCs w:val="24"/>
        </w:rPr>
        <w:t>（四）暂停估值</w:t>
      </w:r>
    </w:p>
    <w:p>
      <w:pPr>
        <w:keepNext w:val="0"/>
        <w:keepLines w:val="0"/>
        <w:pageBreakBefore w:val="0"/>
        <w:kinsoku/>
        <w:overflowPunct/>
        <w:topLinePunct w:val="0"/>
        <w:autoSpaceDE/>
        <w:autoSpaceDN/>
        <w:bidi w:val="0"/>
        <w:adjustRightInd/>
        <w:snapToGrid/>
        <w:spacing w:line="380" w:lineRule="exact"/>
        <w:ind w:firstLine="480" w:firstLineChars="200"/>
        <w:jc w:val="both"/>
        <w:textAlignment w:val="auto"/>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当产品资产的估值因不可抗力或其他情形致使产品管理人、产品托管人无法准确评估产品资产价值或监管部门认定的其他情形时，理财产品管理人可暂停产品的估值直至另行通知。</w:t>
      </w:r>
    </w:p>
    <w:p>
      <w:pPr>
        <w:keepNext w:val="0"/>
        <w:keepLines w:val="0"/>
        <w:pageBreakBefore w:val="0"/>
        <w:kinsoku/>
        <w:overflowPunct/>
        <w:topLinePunct w:val="0"/>
        <w:autoSpaceDE/>
        <w:autoSpaceDN/>
        <w:bidi w:val="0"/>
        <w:adjustRightInd/>
        <w:snapToGrid/>
        <w:spacing w:line="380" w:lineRule="exact"/>
        <w:ind w:firstLine="240" w:firstLineChars="100"/>
        <w:jc w:val="both"/>
        <w:textAlignment w:val="auto"/>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lang w:eastAsia="zh-CN"/>
        </w:rPr>
        <w:t>（五）</w:t>
      </w:r>
      <w:r>
        <w:rPr>
          <w:rFonts w:hint="eastAsia" w:ascii="华文仿宋" w:hAnsi="华文仿宋" w:eastAsia="华文仿宋" w:cs="华文仿宋"/>
          <w:b/>
          <w:bCs/>
          <w:kern w:val="0"/>
          <w:sz w:val="24"/>
          <w:szCs w:val="24"/>
        </w:rPr>
        <w:t>产品单位净值及份额的计算</w:t>
      </w:r>
    </w:p>
    <w:p>
      <w:pPr>
        <w:keepNext w:val="0"/>
        <w:keepLines w:val="0"/>
        <w:pageBreakBefore w:val="0"/>
        <w:kinsoku/>
        <w:overflowPunct/>
        <w:topLinePunct w:val="0"/>
        <w:autoSpaceDE/>
        <w:autoSpaceDN/>
        <w:bidi w:val="0"/>
        <w:adjustRightInd/>
        <w:snapToGrid/>
        <w:spacing w:line="380" w:lineRule="exact"/>
        <w:ind w:firstLine="480" w:firstLineChars="200"/>
        <w:jc w:val="both"/>
        <w:textAlignment w:val="auto"/>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产品资产净值是指理财产品资产总额减去负债总额后的价值。</w:t>
      </w:r>
    </w:p>
    <w:p>
      <w:pPr>
        <w:keepNext w:val="0"/>
        <w:keepLines w:val="0"/>
        <w:pageBreakBefore w:val="0"/>
        <w:kinsoku/>
        <w:overflowPunct/>
        <w:topLinePunct w:val="0"/>
        <w:autoSpaceDE/>
        <w:autoSpaceDN/>
        <w:bidi w:val="0"/>
        <w:adjustRightInd/>
        <w:snapToGrid/>
        <w:spacing w:line="380" w:lineRule="exact"/>
        <w:ind w:firstLine="480" w:firstLineChars="200"/>
        <w:jc w:val="both"/>
        <w:textAlignment w:val="auto"/>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本理财产品单位净值=理财产品总资产净值/理财产品总份额</w:t>
      </w:r>
      <w:r>
        <w:rPr>
          <w:rFonts w:hint="eastAsia" w:ascii="华文仿宋" w:hAnsi="华文仿宋" w:eastAsia="华文仿宋" w:cs="华文仿宋"/>
          <w:kern w:val="0"/>
          <w:sz w:val="24"/>
          <w:szCs w:val="24"/>
          <w:lang w:eastAsia="zh-CN"/>
        </w:rPr>
        <w:t>，理财产品单位净值小数点六位后四舍五入。</w:t>
      </w:r>
    </w:p>
    <w:p>
      <w:pPr>
        <w:keepNext w:val="0"/>
        <w:keepLines w:val="0"/>
        <w:pageBreakBefore w:val="0"/>
        <w:kinsoku/>
        <w:overflowPunct/>
        <w:topLinePunct w:val="0"/>
        <w:autoSpaceDE/>
        <w:autoSpaceDN/>
        <w:bidi w:val="0"/>
        <w:adjustRightInd/>
        <w:snapToGrid/>
        <w:spacing w:line="380" w:lineRule="exact"/>
        <w:ind w:firstLine="480" w:firstLineChars="200"/>
        <w:jc w:val="both"/>
        <w:textAlignment w:val="auto"/>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认购份额=认购金额/1元，认购份额保留至0.01份理财产品份额，小数点</w:t>
      </w:r>
      <w:r>
        <w:rPr>
          <w:rFonts w:hint="eastAsia" w:ascii="华文仿宋" w:hAnsi="华文仿宋" w:eastAsia="华文仿宋" w:cs="华文仿宋"/>
          <w:kern w:val="0"/>
          <w:sz w:val="24"/>
          <w:szCs w:val="24"/>
          <w:lang w:eastAsia="zh-CN"/>
        </w:rPr>
        <w:t>两位后</w:t>
      </w:r>
      <w:r>
        <w:rPr>
          <w:rFonts w:hint="eastAsia" w:ascii="华文仿宋" w:hAnsi="华文仿宋" w:eastAsia="华文仿宋" w:cs="华文仿宋"/>
          <w:kern w:val="0"/>
          <w:sz w:val="24"/>
          <w:szCs w:val="24"/>
        </w:rPr>
        <w:t>四舍五入。</w:t>
      </w:r>
    </w:p>
    <w:p>
      <w:pPr>
        <w:keepNext w:val="0"/>
        <w:keepLines w:val="0"/>
        <w:pageBreakBefore w:val="0"/>
        <w:kinsoku/>
        <w:overflowPunct/>
        <w:topLinePunct w:val="0"/>
        <w:autoSpaceDE/>
        <w:autoSpaceDN/>
        <w:bidi w:val="0"/>
        <w:adjustRightInd/>
        <w:snapToGrid/>
        <w:spacing w:line="380" w:lineRule="exact"/>
        <w:ind w:firstLine="480" w:firstLineChars="200"/>
        <w:jc w:val="both"/>
        <w:textAlignment w:val="auto"/>
        <w:rPr>
          <w:rFonts w:ascii="华文仿宋" w:hAnsi="华文仿宋" w:eastAsia="华文仿宋" w:cs="华文仿宋"/>
          <w:b/>
          <w:bCs/>
          <w:sz w:val="24"/>
          <w:szCs w:val="24"/>
        </w:rPr>
      </w:pPr>
      <w:r>
        <w:rPr>
          <w:rFonts w:hint="eastAsia" w:ascii="华文仿宋" w:hAnsi="华文仿宋" w:eastAsia="华文仿宋" w:cs="华文仿宋"/>
          <w:b/>
          <w:bCs/>
          <w:sz w:val="24"/>
          <w:szCs w:val="24"/>
          <w:lang w:eastAsia="zh-CN"/>
        </w:rPr>
        <w:t>四</w:t>
      </w:r>
      <w:r>
        <w:rPr>
          <w:rFonts w:hint="eastAsia" w:ascii="华文仿宋" w:hAnsi="华文仿宋" w:eastAsia="华文仿宋" w:cs="华文仿宋"/>
          <w:b/>
          <w:bCs/>
          <w:sz w:val="24"/>
          <w:szCs w:val="24"/>
        </w:rPr>
        <w:t>、理财产品费用及收益</w:t>
      </w:r>
    </w:p>
    <w:p>
      <w:pPr>
        <w:keepNext w:val="0"/>
        <w:keepLines w:val="0"/>
        <w:pageBreakBefore w:val="0"/>
        <w:widowControl w:val="0"/>
        <w:kinsoku/>
        <w:wordWrap w:val="0"/>
        <w:overflowPunct/>
        <w:topLinePunct w:val="0"/>
        <w:autoSpaceDE/>
        <w:autoSpaceDN/>
        <w:bidi w:val="0"/>
        <w:adjustRightInd/>
        <w:snapToGrid/>
        <w:spacing w:before="75" w:after="75" w:line="380" w:lineRule="exact"/>
        <w:ind w:left="239" w:leftChars="114" w:firstLine="240" w:firstLineChars="100"/>
        <w:jc w:val="both"/>
        <w:textAlignment w:val="auto"/>
        <w:rPr>
          <w:rFonts w:hint="eastAsia" w:ascii="华文仿宋" w:hAnsi="华文仿宋" w:eastAsia="华文仿宋" w:cs="华文仿宋"/>
          <w:bCs/>
          <w:kern w:val="0"/>
          <w:sz w:val="24"/>
          <w:szCs w:val="24"/>
          <w:highlight w:val="yellow"/>
        </w:rPr>
      </w:pPr>
      <w:r>
        <w:rPr>
          <w:rFonts w:hint="eastAsia" w:ascii="华文仿宋" w:hAnsi="华文仿宋" w:eastAsia="华文仿宋" w:cs="华文仿宋"/>
          <w:kern w:val="0"/>
          <w:sz w:val="24"/>
          <w:szCs w:val="24"/>
        </w:rPr>
        <w:t>1.声明</w:t>
      </w:r>
      <w:r>
        <w:rPr>
          <w:rStyle w:val="14"/>
          <w:rFonts w:hint="default" w:ascii="华文仿宋" w:hAnsi="华文仿宋" w:eastAsia="华文仿宋" w:cs="华文仿宋"/>
          <w:sz w:val="24"/>
          <w:szCs w:val="24"/>
        </w:rPr>
        <w:br w:type="textWrapping"/>
      </w:r>
      <w:r>
        <w:rPr>
          <w:rFonts w:hint="eastAsia" w:ascii="华文仿宋" w:hAnsi="华文仿宋" w:eastAsia="华文仿宋" w:cs="华文仿宋"/>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cs="华文仿宋"/>
          <w:kern w:val="0"/>
          <w:sz w:val="24"/>
          <w:szCs w:val="24"/>
        </w:rPr>
        <w:br w:type="textWrapping"/>
      </w:r>
      <w:r>
        <w:rPr>
          <w:rFonts w:hint="eastAsia" w:ascii="华文仿宋" w:hAnsi="华文仿宋" w:eastAsia="华文仿宋" w:cs="华文仿宋"/>
          <w:kern w:val="0"/>
          <w:sz w:val="24"/>
          <w:szCs w:val="24"/>
        </w:rPr>
        <w:t xml:space="preserve">    2.收益测算方法及测算依据</w:t>
      </w:r>
      <w:r>
        <w:rPr>
          <w:rStyle w:val="14"/>
          <w:rFonts w:hint="default" w:ascii="华文仿宋" w:hAnsi="华文仿宋" w:eastAsia="华文仿宋" w:cs="华文仿宋"/>
          <w:sz w:val="24"/>
          <w:szCs w:val="24"/>
        </w:rPr>
        <w:br w:type="textWrapping"/>
      </w:r>
      <w:r>
        <w:rPr>
          <w:rStyle w:val="15"/>
          <w:rFonts w:hint="eastAsia" w:ascii="华文仿宋" w:hAnsi="华文仿宋" w:eastAsia="华文仿宋" w:cs="华文仿宋"/>
          <w:sz w:val="24"/>
          <w:szCs w:val="24"/>
        </w:rPr>
        <w:t>（</w:t>
      </w:r>
      <w:r>
        <w:rPr>
          <w:rFonts w:hint="eastAsia" w:ascii="华文仿宋" w:hAnsi="华文仿宋" w:eastAsia="华文仿宋" w:cs="华文仿宋"/>
          <w:bCs/>
          <w:kern w:val="0"/>
          <w:sz w:val="24"/>
          <w:szCs w:val="24"/>
        </w:rPr>
        <w:t>以产品业绩比较基准 4.85%，期限 368 天,浮动管理费收取 80%为例）</w:t>
      </w:r>
    </w:p>
    <w:p>
      <w:pPr>
        <w:keepNext w:val="0"/>
        <w:keepLines w:val="0"/>
        <w:pageBreakBefore w:val="0"/>
        <w:kinsoku/>
        <w:wordWrap w:val="0"/>
        <w:overflowPunct/>
        <w:topLinePunct w:val="0"/>
        <w:autoSpaceDE/>
        <w:autoSpaceDN/>
        <w:bidi w:val="0"/>
        <w:adjustRightInd/>
        <w:snapToGrid/>
        <w:spacing w:before="75" w:after="75" w:line="380" w:lineRule="exact"/>
        <w:ind w:firstLine="480" w:firstLineChars="200"/>
        <w:jc w:val="both"/>
        <w:textAlignment w:val="auto"/>
      </w:pPr>
      <w:r>
        <w:rPr>
          <w:rFonts w:hint="eastAsia" w:ascii="华文仿宋" w:hAnsi="华文仿宋" w:eastAsia="华文仿宋" w:cs="华文仿宋"/>
          <w:b/>
          <w:kern w:val="0"/>
          <w:sz w:val="24"/>
          <w:szCs w:val="24"/>
        </w:rPr>
        <w:t>情景</w:t>
      </w:r>
      <w:r>
        <w:rPr>
          <w:rFonts w:hint="eastAsia" w:ascii="华文仿宋" w:hAnsi="华文仿宋" w:eastAsia="华文仿宋" w:cs="华文仿宋"/>
          <w:b/>
          <w:kern w:val="0"/>
          <w:sz w:val="24"/>
          <w:szCs w:val="24"/>
          <w:lang w:eastAsia="zh-CN"/>
        </w:rPr>
        <w:t>一</w:t>
      </w:r>
      <w:r>
        <w:rPr>
          <w:rFonts w:hint="eastAsia" w:ascii="华文仿宋" w:hAnsi="华文仿宋" w:eastAsia="华文仿宋" w:cs="华文仿宋"/>
          <w:b/>
          <w:kern w:val="0"/>
          <w:sz w:val="24"/>
          <w:szCs w:val="24"/>
        </w:rPr>
        <w:t>：</w:t>
      </w:r>
      <w:r>
        <w:rPr>
          <w:rFonts w:hint="eastAsia" w:ascii="华文仿宋" w:hAnsi="华文仿宋" w:eastAsia="华文仿宋" w:cs="华文仿宋"/>
          <w:bCs/>
          <w:kern w:val="0"/>
          <w:sz w:val="24"/>
          <w:szCs w:val="24"/>
        </w:rPr>
        <w:t>扣除销售管理费、托管费、固定管理费后，投资收益未达到业绩比较基准。</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4.72%&lt;4.85%，即投资收益未达到业绩比较基准，则投资管理人不收取浮动管理费，客户最终收益为：</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Cs/>
          <w:kern w:val="0"/>
          <w:sz w:val="24"/>
          <w:szCs w:val="24"/>
        </w:rPr>
        <w:t xml:space="preserve">    100,000.00×(1.0476-1.00） = 4,760.00（元）</w:t>
      </w:r>
      <w:r>
        <w:rPr>
          <w:rFonts w:hint="eastAsia" w:ascii="华文仿宋" w:hAnsi="华文仿宋" w:eastAsia="华文仿宋" w:cs="华文仿宋"/>
          <w:bCs/>
          <w:kern w:val="0"/>
          <w:sz w:val="24"/>
          <w:szCs w:val="24"/>
        </w:rPr>
        <w:br w:type="textWrapping"/>
      </w:r>
      <w:r>
        <w:rPr>
          <w:rFonts w:hint="eastAsia" w:ascii="华文仿宋" w:hAnsi="华文仿宋" w:eastAsia="华文仿宋" w:cs="华文仿宋"/>
          <w:b/>
          <w:kern w:val="0"/>
          <w:sz w:val="24"/>
          <w:szCs w:val="24"/>
        </w:rPr>
        <w:t>情景</w:t>
      </w:r>
      <w:r>
        <w:rPr>
          <w:rFonts w:hint="eastAsia" w:ascii="华文仿宋" w:hAnsi="华文仿宋" w:eastAsia="华文仿宋" w:cs="华文仿宋"/>
          <w:b/>
          <w:kern w:val="0"/>
          <w:sz w:val="24"/>
          <w:szCs w:val="24"/>
          <w:lang w:eastAsia="zh-CN"/>
        </w:rPr>
        <w:t>二</w:t>
      </w:r>
      <w:r>
        <w:rPr>
          <w:rFonts w:hint="eastAsia" w:ascii="华文仿宋" w:hAnsi="华文仿宋" w:eastAsia="华文仿宋" w:cs="华文仿宋"/>
          <w:b/>
          <w:kern w:val="0"/>
          <w:sz w:val="24"/>
          <w:szCs w:val="24"/>
        </w:rPr>
        <w:t>：</w:t>
      </w:r>
      <w:r>
        <w:rPr>
          <w:rFonts w:ascii="华文仿宋" w:hAnsi="华文仿宋" w:eastAsia="华文仿宋" w:cs="华文仿宋"/>
          <w:color w:val="000000"/>
          <w:kern w:val="0"/>
          <w:sz w:val="24"/>
          <w:szCs w:val="24"/>
        </w:rPr>
        <w:t>最不利情况，扣销售管理费、托管费、固定管理费后，投资发生亏损。</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100,000.00×（ 0.99-1.00） = -1000（元）</w:t>
      </w:r>
      <w:r>
        <w:rPr>
          <w:rFonts w:hint="eastAsia" w:ascii="华文仿宋" w:hAnsi="华文仿宋" w:eastAsia="华文仿宋" w:cs="华文仿宋"/>
          <w:color w:val="000000"/>
          <w:kern w:val="0"/>
          <w:sz w:val="24"/>
          <w:szCs w:val="24"/>
        </w:rPr>
        <w:br w:type="textWrapping"/>
      </w:r>
      <w:r>
        <w:rPr>
          <w:rFonts w:hint="eastAsia" w:ascii="华文仿宋" w:hAnsi="华文仿宋" w:eastAsia="华文仿宋" w:cs="华文仿宋"/>
          <w:color w:val="000000"/>
          <w:kern w:val="0"/>
          <w:sz w:val="24"/>
          <w:szCs w:val="24"/>
        </w:rPr>
        <w:t>  （测算收益不等于实际收益，投资须谨慎）</w:t>
      </w:r>
    </w:p>
    <w:p>
      <w:pPr>
        <w:keepNext w:val="0"/>
        <w:keepLines w:val="0"/>
        <w:pageBreakBefore w:val="0"/>
        <w:kinsoku/>
        <w:overflowPunct/>
        <w:topLinePunct w:val="0"/>
        <w:autoSpaceDE/>
        <w:autoSpaceDN/>
        <w:bidi w:val="0"/>
        <w:adjustRightInd/>
        <w:snapToGrid/>
        <w:spacing w:line="380" w:lineRule="exact"/>
        <w:ind w:firstLine="480" w:firstLineChars="200"/>
        <w:jc w:val="both"/>
        <w:textAlignment w:val="auto"/>
        <w:rPr>
          <w:rFonts w:ascii="华文仿宋" w:hAnsi="华文仿宋" w:eastAsia="华文仿宋" w:cs="华文仿宋"/>
          <w:sz w:val="24"/>
          <w:szCs w:val="24"/>
        </w:rPr>
      </w:pPr>
      <w:r>
        <w:rPr>
          <w:rStyle w:val="10"/>
          <w:rFonts w:hint="eastAsia" w:ascii="华文仿宋" w:hAnsi="华文仿宋" w:eastAsia="华文仿宋" w:cs="华文仿宋"/>
          <w:kern w:val="0"/>
          <w:sz w:val="24"/>
          <w:szCs w:val="24"/>
          <w:lang w:eastAsia="zh-CN"/>
        </w:rPr>
        <w:t>五</w:t>
      </w:r>
      <w:r>
        <w:rPr>
          <w:rStyle w:val="10"/>
          <w:rFonts w:hint="eastAsia" w:ascii="华文仿宋" w:hAnsi="华文仿宋" w:eastAsia="华文仿宋" w:cs="华文仿宋"/>
          <w:kern w:val="0"/>
          <w:sz w:val="24"/>
          <w:szCs w:val="24"/>
        </w:rPr>
        <w:t xml:space="preserve">、产品提前终止 </w:t>
      </w:r>
    </w:p>
    <w:p>
      <w:pPr>
        <w:keepNext w:val="0"/>
        <w:keepLines w:val="0"/>
        <w:pageBreakBefore w:val="0"/>
        <w:kinsoku/>
        <w:overflowPunct/>
        <w:topLinePunct w:val="0"/>
        <w:autoSpaceDE/>
        <w:autoSpaceDN/>
        <w:bidi w:val="0"/>
        <w:adjustRightInd/>
        <w:snapToGrid/>
        <w:spacing w:line="380" w:lineRule="exact"/>
        <w:ind w:firstLine="480" w:firstLineChars="200"/>
        <w:jc w:val="both"/>
        <w:textAlignment w:val="auto"/>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1</w:t>
      </w:r>
      <w:r>
        <w:rPr>
          <w:rFonts w:hint="eastAsia" w:ascii="华文仿宋" w:hAnsi="华文仿宋" w:eastAsia="华文仿宋" w:cs="华文仿宋"/>
          <w:bCs/>
          <w:kern w:val="0"/>
          <w:sz w:val="24"/>
          <w:szCs w:val="24"/>
          <w:lang w:eastAsia="zh-CN"/>
        </w:rPr>
        <w:t>.</w:t>
      </w:r>
      <w:r>
        <w:rPr>
          <w:rFonts w:hint="eastAsia" w:ascii="华文仿宋" w:hAnsi="华文仿宋" w:eastAsia="华文仿宋" w:cs="华文仿宋"/>
          <w:bCs/>
          <w:kern w:val="0"/>
          <w:sz w:val="24"/>
          <w:szCs w:val="24"/>
        </w:rPr>
        <w:t>若在募集期届满之前募集资金已经达到产品募集上限，新疆银行有权提前结束募集并提前成立该理财产品，产品提前成立时</w:t>
      </w:r>
      <w:r>
        <w:rPr>
          <w:rFonts w:hint="eastAsia" w:ascii="华文仿宋" w:hAnsi="华文仿宋" w:eastAsia="华文仿宋" w:cs="华文仿宋"/>
          <w:bCs/>
          <w:kern w:val="0"/>
          <w:sz w:val="24"/>
          <w:szCs w:val="24"/>
          <w:lang w:eastAsia="zh-CN"/>
        </w:rPr>
        <w:t>本行</w:t>
      </w:r>
      <w:r>
        <w:rPr>
          <w:rFonts w:hint="eastAsia" w:ascii="华文仿宋" w:hAnsi="华文仿宋" w:eastAsia="华文仿宋" w:cs="华文仿宋"/>
          <w:bCs/>
          <w:kern w:val="0"/>
          <w:sz w:val="24"/>
          <w:szCs w:val="24"/>
        </w:rPr>
        <w:t>将调整成立日期，并</w:t>
      </w:r>
      <w:r>
        <w:rPr>
          <w:rFonts w:hint="eastAsia" w:ascii="华文仿宋" w:hAnsi="华文仿宋" w:eastAsia="华文仿宋" w:cs="华文仿宋"/>
          <w:bCs/>
          <w:sz w:val="24"/>
          <w:szCs w:val="24"/>
        </w:rPr>
        <w:t>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或</w:t>
      </w:r>
      <w:r>
        <w:rPr>
          <w:rFonts w:hint="eastAsia" w:ascii="华文仿宋" w:hAnsi="华文仿宋" w:eastAsia="华文仿宋" w:cs="华文仿宋"/>
          <w:bCs/>
          <w:kern w:val="0"/>
          <w:sz w:val="24"/>
          <w:szCs w:val="24"/>
          <w:lang w:eastAsia="zh-CN"/>
        </w:rPr>
        <w:t>本行</w:t>
      </w:r>
      <w:r>
        <w:rPr>
          <w:rFonts w:hint="eastAsia" w:ascii="华文仿宋" w:hAnsi="华文仿宋" w:eastAsia="华文仿宋" w:cs="华文仿宋"/>
          <w:bCs/>
          <w:kern w:val="0"/>
          <w:sz w:val="24"/>
          <w:szCs w:val="24"/>
        </w:rPr>
        <w:t>认为适当的其他方式、地点进行公示。</w:t>
      </w:r>
    </w:p>
    <w:p>
      <w:pPr>
        <w:keepNext w:val="0"/>
        <w:keepLines w:val="0"/>
        <w:pageBreakBefore w:val="0"/>
        <w:kinsoku/>
        <w:overflowPunct/>
        <w:topLinePunct w:val="0"/>
        <w:autoSpaceDE/>
        <w:autoSpaceDN/>
        <w:bidi w:val="0"/>
        <w:adjustRightInd/>
        <w:snapToGrid/>
        <w:spacing w:line="380" w:lineRule="exact"/>
        <w:ind w:firstLine="480" w:firstLineChars="200"/>
        <w:jc w:val="both"/>
        <w:textAlignment w:val="auto"/>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2</w:t>
      </w:r>
      <w:r>
        <w:rPr>
          <w:rFonts w:hint="eastAsia" w:ascii="华文仿宋" w:hAnsi="华文仿宋" w:eastAsia="华文仿宋" w:cs="华文仿宋"/>
          <w:bCs/>
          <w:kern w:val="0"/>
          <w:sz w:val="24"/>
          <w:szCs w:val="24"/>
          <w:lang w:eastAsia="zh-CN"/>
        </w:rPr>
        <w:t>.</w:t>
      </w:r>
      <w:r>
        <w:rPr>
          <w:rFonts w:hint="eastAsia" w:ascii="华文仿宋" w:hAnsi="华文仿宋" w:eastAsia="华文仿宋" w:cs="华文仿宋"/>
          <w:bCs/>
          <w:kern w:val="0"/>
          <w:sz w:val="24"/>
          <w:szCs w:val="24"/>
        </w:rPr>
        <w:t>在理财产品投资运作期间内，客户无权要求提前终止该理财产品；当相关政策出现重大调整、市场出现剧烈波动、投资标的提前到期或发生其他新疆银行认为需要提前终止本理财产品等情况，</w:t>
      </w:r>
      <w:r>
        <w:rPr>
          <w:rFonts w:hint="eastAsia" w:ascii="华文仿宋" w:hAnsi="华文仿宋" w:eastAsia="华文仿宋" w:cs="华文仿宋"/>
          <w:bCs/>
          <w:kern w:val="0"/>
          <w:sz w:val="24"/>
          <w:szCs w:val="24"/>
          <w:lang w:eastAsia="zh-CN"/>
        </w:rPr>
        <w:t>本行</w:t>
      </w:r>
      <w:r>
        <w:rPr>
          <w:rFonts w:hint="eastAsia" w:ascii="华文仿宋" w:hAnsi="华文仿宋" w:eastAsia="华文仿宋" w:cs="华文仿宋"/>
          <w:bCs/>
          <w:kern w:val="0"/>
          <w:sz w:val="24"/>
          <w:szCs w:val="24"/>
        </w:rPr>
        <w:t>有权部分或全部提前终止该款该期理财产品。当</w:t>
      </w:r>
      <w:r>
        <w:rPr>
          <w:rFonts w:hint="eastAsia" w:ascii="华文仿宋" w:hAnsi="华文仿宋" w:eastAsia="华文仿宋" w:cs="华文仿宋"/>
          <w:bCs/>
          <w:kern w:val="0"/>
          <w:sz w:val="24"/>
          <w:szCs w:val="24"/>
          <w:lang w:eastAsia="zh-CN"/>
        </w:rPr>
        <w:t>本</w:t>
      </w:r>
      <w:r>
        <w:rPr>
          <w:rFonts w:hint="eastAsia" w:ascii="华文仿宋" w:hAnsi="华文仿宋" w:eastAsia="华文仿宋" w:cs="华文仿宋"/>
          <w:bCs/>
          <w:kern w:val="0"/>
          <w:sz w:val="24"/>
          <w:szCs w:val="24"/>
        </w:rPr>
        <w:t>行决定提前终止本产品时，将在提前终止日前两个工作日通过</w:t>
      </w:r>
      <w:r>
        <w:rPr>
          <w:rFonts w:hint="eastAsia" w:ascii="华文仿宋" w:hAnsi="华文仿宋" w:eastAsia="华文仿宋" w:cs="华文仿宋"/>
          <w:sz w:val="24"/>
          <w:szCs w:val="24"/>
        </w:rPr>
        <w:t>新疆银行官方网站（www.xjbank.com）</w:t>
      </w:r>
      <w:r>
        <w:rPr>
          <w:rFonts w:hint="eastAsia" w:ascii="华文仿宋" w:hAnsi="华文仿宋" w:eastAsia="华文仿宋" w:cs="华文仿宋"/>
          <w:bCs/>
          <w:kern w:val="0"/>
          <w:sz w:val="24"/>
          <w:szCs w:val="24"/>
        </w:rPr>
        <w:t>或</w:t>
      </w:r>
      <w:r>
        <w:rPr>
          <w:rFonts w:hint="eastAsia" w:ascii="华文仿宋" w:hAnsi="华文仿宋" w:eastAsia="华文仿宋" w:cs="华文仿宋"/>
          <w:bCs/>
          <w:kern w:val="0"/>
          <w:sz w:val="24"/>
          <w:szCs w:val="24"/>
          <w:lang w:eastAsia="zh-CN"/>
        </w:rPr>
        <w:t>本</w:t>
      </w:r>
      <w:r>
        <w:rPr>
          <w:rFonts w:hint="eastAsia" w:ascii="华文仿宋" w:hAnsi="华文仿宋" w:eastAsia="华文仿宋" w:cs="华文仿宋"/>
          <w:bCs/>
          <w:kern w:val="0"/>
          <w:sz w:val="24"/>
          <w:szCs w:val="24"/>
        </w:rPr>
        <w:t>行认为适当的其他方式、地点进行公示。提前终止日后将客户理财资金及理财收益（如有）划入客户理财账户，划付信息以新疆银行官方网站（www.xjbank.com）或</w:t>
      </w:r>
      <w:r>
        <w:rPr>
          <w:rFonts w:hint="eastAsia" w:ascii="华文仿宋" w:hAnsi="华文仿宋" w:eastAsia="华文仿宋" w:cs="华文仿宋"/>
          <w:bCs/>
          <w:kern w:val="0"/>
          <w:sz w:val="24"/>
          <w:szCs w:val="24"/>
          <w:lang w:eastAsia="zh-CN"/>
        </w:rPr>
        <w:t>本</w:t>
      </w:r>
      <w:r>
        <w:rPr>
          <w:rFonts w:hint="eastAsia" w:ascii="华文仿宋" w:hAnsi="华文仿宋" w:eastAsia="华文仿宋" w:cs="华文仿宋"/>
          <w:bCs/>
          <w:kern w:val="0"/>
          <w:sz w:val="24"/>
          <w:szCs w:val="24"/>
        </w:rPr>
        <w:t>行认为适当的其他方式、地点进行公布为准。提前终止日（含当日）至资金实际到账日之间，客户资金不计息。</w:t>
      </w:r>
    </w:p>
    <w:p>
      <w:pPr>
        <w:keepNext w:val="0"/>
        <w:keepLines w:val="0"/>
        <w:pageBreakBefore w:val="0"/>
        <w:widowControl/>
        <w:kinsoku/>
        <w:overflowPunct/>
        <w:topLinePunct w:val="0"/>
        <w:autoSpaceDE/>
        <w:autoSpaceDN/>
        <w:bidi w:val="0"/>
        <w:adjustRightInd/>
        <w:snapToGrid/>
        <w:spacing w:line="400" w:lineRule="exact"/>
        <w:ind w:firstLine="480" w:firstLineChars="200"/>
        <w:jc w:val="both"/>
        <w:textAlignment w:val="auto"/>
        <w:rPr>
          <w:rFonts w:ascii="华文仿宋" w:hAnsi="华文仿宋" w:eastAsia="华文仿宋" w:cs="华文仿宋"/>
          <w:bCs/>
          <w:color w:val="000000"/>
          <w:kern w:val="0"/>
          <w:sz w:val="24"/>
          <w:szCs w:val="24"/>
          <w:lang w:val="en-US" w:eastAsia="zh-CN" w:bidi="ar"/>
        </w:rPr>
      </w:pPr>
      <w:r>
        <w:rPr>
          <w:rStyle w:val="10"/>
          <w:rFonts w:hint="eastAsia" w:ascii="华文仿宋" w:hAnsi="华文仿宋" w:eastAsia="华文仿宋" w:cs="华文仿宋"/>
          <w:kern w:val="0"/>
          <w:sz w:val="24"/>
          <w:szCs w:val="24"/>
          <w:lang w:eastAsia="zh-CN"/>
        </w:rPr>
        <w:t>六</w:t>
      </w:r>
      <w:r>
        <w:rPr>
          <w:rStyle w:val="10"/>
          <w:rFonts w:hint="eastAsia" w:ascii="华文仿宋" w:hAnsi="华文仿宋" w:eastAsia="华文仿宋" w:cs="华文仿宋"/>
          <w:kern w:val="0"/>
          <w:sz w:val="24"/>
          <w:szCs w:val="24"/>
        </w:rPr>
        <w:t>、信息披露</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80" w:firstLineChars="200"/>
        <w:jc w:val="both"/>
        <w:textAlignment w:val="auto"/>
        <w:rPr>
          <w:rFonts w:hint="eastAsia" w:ascii="华文仿宋" w:hAnsi="华文仿宋" w:eastAsia="华文仿宋" w:cs="华文仿宋"/>
          <w:bCs/>
          <w:color w:val="000000"/>
          <w:kern w:val="0"/>
          <w:sz w:val="24"/>
          <w:szCs w:val="24"/>
          <w:highlight w:val="none"/>
          <w:lang w:val="en-US"/>
        </w:rPr>
      </w:pPr>
      <w:r>
        <w:rPr>
          <w:rFonts w:hint="eastAsia" w:ascii="华文仿宋" w:hAnsi="华文仿宋" w:eastAsia="华文仿宋" w:cs="华文仿宋"/>
          <w:bCs/>
          <w:color w:val="000000"/>
          <w:kern w:val="0"/>
          <w:sz w:val="24"/>
          <w:szCs w:val="24"/>
          <w:highlight w:val="none"/>
          <w:lang w:val="en-US" w:eastAsia="zh-CN" w:bidi="ar"/>
        </w:rPr>
        <w:t>客户同意</w:t>
      </w:r>
      <w:r>
        <w:rPr>
          <w:rFonts w:ascii="华文仿宋" w:hAnsi="华文仿宋" w:eastAsia="华文仿宋" w:cs="华文仿宋"/>
          <w:bCs/>
          <w:color w:val="000000"/>
          <w:kern w:val="0"/>
          <w:sz w:val="24"/>
          <w:szCs w:val="24"/>
          <w:highlight w:val="none"/>
          <w:lang w:val="en-US" w:eastAsia="zh-CN" w:bidi="ar"/>
        </w:rPr>
        <w:t>新疆银行通过新疆银行官方网站（</w:t>
      </w:r>
      <w:r>
        <w:rPr>
          <w:rFonts w:hint="eastAsia" w:ascii="华文仿宋" w:hAnsi="华文仿宋" w:eastAsia="华文仿宋" w:cs="华文仿宋"/>
          <w:bCs/>
          <w:color w:val="000000"/>
          <w:kern w:val="0"/>
          <w:sz w:val="24"/>
          <w:szCs w:val="24"/>
          <w:highlight w:val="none"/>
          <w:lang w:val="en-US" w:eastAsia="zh-CN" w:bidi="ar"/>
        </w:rPr>
        <w:t>www.xjbank.com）或本行认为适当的其他方式、地点披露产品以下相关信息：</w:t>
      </w:r>
      <w:r>
        <w:rPr>
          <w:rFonts w:ascii="sans serif" w:hAnsi="sans serif" w:eastAsia="sans serif" w:cs="sans serif"/>
          <w:color w:val="000000"/>
          <w:kern w:val="0"/>
          <w:sz w:val="24"/>
          <w:szCs w:val="24"/>
          <w:highlight w:val="none"/>
          <w:lang w:val="en-US" w:eastAsia="zh-CN" w:bidi="ar"/>
        </w:rPr>
        <w:t xml:space="preserve"> </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left="0" w:right="0" w:firstLine="480" w:firstLineChars="200"/>
        <w:jc w:val="both"/>
        <w:textAlignment w:val="auto"/>
        <w:rPr>
          <w:rFonts w:hint="eastAsia" w:ascii="华文仿宋" w:hAnsi="华文仿宋" w:eastAsia="华文仿宋" w:cs="华文仿宋"/>
          <w:bCs/>
          <w:color w:val="000000"/>
          <w:kern w:val="0"/>
          <w:sz w:val="24"/>
          <w:szCs w:val="24"/>
          <w:highlight w:val="none"/>
          <w:lang w:val="en-US"/>
        </w:rPr>
      </w:pPr>
      <w:r>
        <w:rPr>
          <w:rFonts w:hint="eastAsia" w:ascii="华文仿宋" w:hAnsi="华文仿宋" w:eastAsia="华文仿宋" w:cs="华文仿宋"/>
          <w:bCs/>
          <w:color w:val="000000"/>
          <w:kern w:val="0"/>
          <w:sz w:val="24"/>
          <w:szCs w:val="24"/>
          <w:highlight w:val="none"/>
          <w:lang w:val="en-US" w:eastAsia="zh-CN" w:bidi="ar"/>
        </w:rPr>
        <w:t>1.产品成立信息、产品终止信息、产品重大影响事件等；</w:t>
      </w:r>
      <w:r>
        <w:rPr>
          <w:rFonts w:hint="default" w:ascii="sans serif" w:hAnsi="sans serif" w:eastAsia="sans serif" w:cs="sans serif"/>
          <w:color w:val="000000"/>
          <w:kern w:val="0"/>
          <w:sz w:val="24"/>
          <w:szCs w:val="24"/>
          <w:highlight w:val="none"/>
          <w:lang w:val="en-US" w:eastAsia="zh-CN" w:bidi="ar"/>
        </w:rPr>
        <w:t xml:space="preserve"> </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right="0" w:firstLine="480" w:firstLineChars="200"/>
        <w:jc w:val="both"/>
        <w:textAlignment w:val="auto"/>
        <w:rPr>
          <w:rFonts w:hint="eastAsia" w:ascii="华文仿宋" w:hAnsi="华文仿宋" w:eastAsia="华文仿宋" w:cs="华文仿宋"/>
          <w:bCs/>
          <w:color w:val="000000"/>
          <w:kern w:val="0"/>
          <w:sz w:val="24"/>
          <w:szCs w:val="24"/>
          <w:highlight w:val="none"/>
          <w:lang w:val="en-US" w:eastAsia="zh-CN" w:bidi="ar"/>
        </w:rPr>
      </w:pPr>
      <w:r>
        <w:rPr>
          <w:rFonts w:hint="eastAsia" w:ascii="华文仿宋" w:hAnsi="华文仿宋" w:eastAsia="华文仿宋" w:cs="华文仿宋"/>
          <w:bCs/>
          <w:color w:val="000000"/>
          <w:kern w:val="0"/>
          <w:sz w:val="24"/>
          <w:szCs w:val="24"/>
          <w:highlight w:val="none"/>
          <w:lang w:val="en-US" w:eastAsia="zh-CN" w:bidi="ar"/>
        </w:rPr>
        <w:t>2.在本产品存续期内，按季披露产品单位净值；</w:t>
      </w:r>
    </w:p>
    <w:p>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400" w:lineRule="exact"/>
        <w:ind w:right="0" w:firstLine="480" w:firstLineChars="200"/>
        <w:jc w:val="both"/>
        <w:textAlignment w:val="auto"/>
        <w:rPr>
          <w:rFonts w:hint="eastAsia" w:ascii="华文仿宋" w:hAnsi="华文仿宋" w:eastAsia="华文仿宋" w:cs="华文仿宋"/>
          <w:bCs/>
          <w:color w:val="000000"/>
          <w:kern w:val="0"/>
          <w:sz w:val="24"/>
          <w:szCs w:val="24"/>
          <w:highlight w:val="none"/>
          <w:lang w:val="en-US"/>
        </w:rPr>
      </w:pPr>
      <w:r>
        <w:rPr>
          <w:rFonts w:hint="eastAsia" w:ascii="华文仿宋" w:hAnsi="华文仿宋" w:eastAsia="华文仿宋" w:cs="华文仿宋"/>
          <w:bCs/>
          <w:color w:val="000000"/>
          <w:kern w:val="0"/>
          <w:sz w:val="24"/>
          <w:szCs w:val="24"/>
          <w:highlight w:val="none"/>
          <w:lang w:val="en-US" w:eastAsia="zh-CN" w:bidi="ar"/>
        </w:rPr>
        <w:t>3.理财产品</w:t>
      </w:r>
      <w:r>
        <w:rPr>
          <w:rFonts w:hint="eastAsia" w:ascii="华文仿宋" w:hAnsi="华文仿宋" w:eastAsia="华文仿宋" w:cs="华文仿宋"/>
          <w:bCs/>
          <w:kern w:val="0"/>
          <w:sz w:val="24"/>
          <w:szCs w:val="24"/>
          <w:highlight w:val="none"/>
        </w:rPr>
        <w:t>季度</w:t>
      </w:r>
      <w:r>
        <w:rPr>
          <w:rFonts w:hint="eastAsia" w:ascii="华文仿宋" w:hAnsi="华文仿宋" w:eastAsia="华文仿宋" w:cs="华文仿宋"/>
          <w:bCs/>
          <w:kern w:val="0"/>
          <w:sz w:val="24"/>
          <w:szCs w:val="24"/>
          <w:highlight w:val="none"/>
          <w:lang w:eastAsia="zh-CN"/>
        </w:rPr>
        <w:t>、半年和年度报告等运作报告；</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bCs/>
          <w:color w:val="auto"/>
          <w:kern w:val="0"/>
          <w:sz w:val="24"/>
          <w:szCs w:val="24"/>
          <w:lang w:val="en-US"/>
        </w:rPr>
      </w:pPr>
      <w:r>
        <w:rPr>
          <w:rFonts w:hint="eastAsia" w:ascii="华文仿宋" w:hAnsi="华文仿宋" w:eastAsia="华文仿宋" w:cs="华文仿宋"/>
          <w:color w:val="000000"/>
          <w:kern w:val="0"/>
          <w:sz w:val="24"/>
          <w:szCs w:val="24"/>
          <w:lang w:val="en-US" w:eastAsia="zh-CN" w:bidi="ar"/>
        </w:rPr>
        <w:t>4.</w:t>
      </w:r>
      <w:r>
        <w:rPr>
          <w:rFonts w:hint="eastAsia" w:ascii="华文仿宋" w:hAnsi="华文仿宋" w:eastAsia="华文仿宋" w:cs="华文仿宋"/>
          <w:bCs/>
          <w:color w:val="000000"/>
          <w:kern w:val="0"/>
          <w:sz w:val="24"/>
          <w:szCs w:val="24"/>
          <w:lang w:val="en-US" w:eastAsia="zh-CN" w:bidi="ar"/>
        </w:rPr>
        <w:t>新疆银行将在国家有关法律法规允许、理财协议约定的范围内进行投资运作。本产品如因市场变化、未达到或超过计划募集金额等因素</w:t>
      </w:r>
      <w:r>
        <w:rPr>
          <w:rFonts w:hint="eastAsia" w:ascii="华文仿宋" w:hAnsi="华文仿宋" w:eastAsia="华文仿宋" w:cs="华文仿宋"/>
          <w:bCs/>
          <w:color w:val="auto"/>
          <w:kern w:val="0"/>
          <w:sz w:val="24"/>
          <w:szCs w:val="24"/>
          <w:lang w:val="en-US" w:eastAsia="zh-CN" w:bidi="ar"/>
        </w:rPr>
        <w:t>，</w:t>
      </w:r>
      <w:r>
        <w:rPr>
          <w:rFonts w:hint="eastAsia" w:ascii="华文仿宋" w:hAnsi="华文仿宋" w:eastAsia="华文仿宋" w:cs="华文仿宋"/>
          <w:bCs/>
          <w:color w:val="auto"/>
          <w:kern w:val="0"/>
          <w:sz w:val="24"/>
          <w:szCs w:val="24"/>
          <w:highlight w:val="none"/>
          <w:lang w:val="en-US" w:eastAsia="zh-CN" w:bidi="ar"/>
        </w:rPr>
        <w:t>投资比例可在不影响产品风险评级的前提下合理浮动，</w:t>
      </w:r>
      <w:r>
        <w:rPr>
          <w:rFonts w:hint="eastAsia" w:ascii="华文仿宋" w:hAnsi="华文仿宋" w:eastAsia="华文仿宋" w:cs="华文仿宋"/>
          <w:bCs/>
          <w:color w:val="auto"/>
          <w:kern w:val="0"/>
          <w:sz w:val="24"/>
          <w:szCs w:val="24"/>
          <w:lang w:val="en-US" w:eastAsia="zh-CN" w:bidi="ar"/>
        </w:rPr>
        <w:t>若投资比例超出产品合理的浮动区间，我行将根据有关规定予以披露；</w:t>
      </w:r>
      <w:r>
        <w:rPr>
          <w:rFonts w:hint="default" w:ascii="sans serif" w:hAnsi="sans serif" w:eastAsia="sans serif" w:cs="sans serif"/>
          <w:color w:val="auto"/>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rPr>
          <w:rFonts w:hint="eastAsia" w:ascii="华文仿宋" w:hAnsi="华文仿宋" w:eastAsia="华文仿宋" w:cs="华文仿宋"/>
          <w:color w:val="000000"/>
          <w:sz w:val="24"/>
          <w:szCs w:val="24"/>
          <w:lang w:val="en-US"/>
        </w:rPr>
      </w:pPr>
      <w:r>
        <w:rPr>
          <w:rFonts w:hint="eastAsia" w:ascii="华文仿宋" w:hAnsi="华文仿宋" w:eastAsia="华文仿宋" w:cs="华文仿宋"/>
          <w:bCs/>
          <w:color w:val="auto"/>
          <w:kern w:val="0"/>
          <w:sz w:val="24"/>
          <w:szCs w:val="24"/>
          <w:lang w:val="en-US" w:eastAsia="zh-CN" w:bidi="ar"/>
        </w:rPr>
        <w:t>5.若发生理财产品不成立、变更募集期、提前终止、延期终止等情况，我行</w:t>
      </w:r>
      <w:r>
        <w:rPr>
          <w:rFonts w:hint="eastAsia" w:ascii="华文仿宋" w:hAnsi="华文仿宋" w:eastAsia="华文仿宋" w:cs="华文仿宋"/>
          <w:bCs/>
          <w:color w:val="000000"/>
          <w:kern w:val="0"/>
          <w:sz w:val="24"/>
          <w:szCs w:val="24"/>
          <w:lang w:val="en-US" w:eastAsia="zh-CN" w:bidi="ar"/>
        </w:rPr>
        <w:t>将按照法律法规及监管规范进行披露，</w:t>
      </w:r>
      <w:r>
        <w:rPr>
          <w:rStyle w:val="10"/>
          <w:rFonts w:hint="eastAsia" w:ascii="华文仿宋" w:hAnsi="华文仿宋" w:eastAsia="华文仿宋" w:cs="华文仿宋"/>
          <w:bCs/>
          <w:color w:val="000000"/>
          <w:kern w:val="0"/>
          <w:sz w:val="24"/>
          <w:szCs w:val="24"/>
          <w:lang w:val="en-US" w:eastAsia="zh-CN" w:bidi="ar"/>
        </w:rPr>
        <w:t>该等披露，视为银行已向客户完全履行信息披露义务。客户承诺将及时接收、浏览和阅读该等信息；</w:t>
      </w:r>
      <w:r>
        <w:rPr>
          <w:rFonts w:hint="default" w:ascii="sans serif" w:hAnsi="sans serif" w:eastAsia="sans serif" w:cs="sans serif"/>
          <w:color w:val="000000"/>
          <w:kern w:val="0"/>
          <w:sz w:val="24"/>
          <w:szCs w:val="24"/>
          <w:lang w:val="en-US" w:eastAsia="zh-CN" w:bidi="ar"/>
        </w:rPr>
        <w:t xml:space="preserve"> </w:t>
      </w:r>
    </w:p>
    <w:p>
      <w:pPr>
        <w:keepNext w:val="0"/>
        <w:keepLines w:val="0"/>
        <w:widowControl/>
        <w:suppressLineNumbers w:val="0"/>
        <w:wordWrap w:val="0"/>
        <w:spacing w:before="0" w:beforeAutospacing="0" w:after="0" w:afterAutospacing="0" w:line="400" w:lineRule="exact"/>
        <w:ind w:left="0" w:right="0" w:firstLine="480" w:firstLineChars="200"/>
        <w:jc w:val="left"/>
      </w:pPr>
      <w:r>
        <w:rPr>
          <w:rStyle w:val="10"/>
          <w:rFonts w:hint="eastAsia" w:ascii="华文仿宋" w:hAnsi="华文仿宋" w:eastAsia="华文仿宋" w:cs="华文仿宋"/>
          <w:color w:val="000000"/>
          <w:kern w:val="0"/>
          <w:sz w:val="24"/>
          <w:szCs w:val="24"/>
          <w:lang w:val="en-US" w:eastAsia="zh-CN" w:bidi="ar"/>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400" w:lineRule="exact"/>
        <w:ind w:firstLine="480" w:firstLineChars="200"/>
        <w:jc w:val="left"/>
        <w:rPr>
          <w:rStyle w:val="10"/>
          <w:rFonts w:hint="eastAsia" w:ascii="华文仿宋" w:hAnsi="华文仿宋" w:eastAsia="华文仿宋" w:cs="华文仿宋"/>
          <w:kern w:val="0"/>
          <w:sz w:val="24"/>
          <w:szCs w:val="24"/>
        </w:rPr>
      </w:pPr>
    </w:p>
    <w:p>
      <w:pPr>
        <w:spacing w:line="380" w:lineRule="exact"/>
        <w:ind w:firstLine="480" w:firstLineChars="200"/>
        <w:jc w:val="left"/>
        <w:rPr>
          <w:rFonts w:ascii="华文仿宋" w:hAnsi="华文仿宋" w:eastAsia="华文仿宋" w:cs="华文仿宋"/>
          <w:sz w:val="24"/>
          <w:szCs w:val="24"/>
        </w:rPr>
      </w:pPr>
    </w:p>
    <w:sectPr>
      <w:headerReference r:id="rId3" w:type="default"/>
      <w:footerReference r:id="rId4" w:type="default"/>
      <w:pgSz w:w="11906" w:h="16838"/>
      <w:pgMar w:top="1440" w:right="1134" w:bottom="1440" w:left="113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sans serif">
    <w:altName w:val="Segoe Print"/>
    <w:panose1 w:val="00000000000000000000"/>
    <w:charset w:val="00"/>
    <w:family w:val="auto"/>
    <w:pitch w:val="default"/>
    <w:sig w:usb0="00000000" w:usb1="00000000" w:usb2="00000000" w:usb3="00000000" w:csb0="00000000" w:csb1="00000000"/>
  </w:font>
  <w:font w:name="方正大黑简体">
    <w:panose1 w:val="02010601030101010101"/>
    <w:charset w:val="86"/>
    <w:family w:val="auto"/>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4"/>
          <w:jc w:val="right"/>
        </w:pPr>
        <w:r>
          <w:fldChar w:fldCharType="begin"/>
        </w:r>
        <w:r>
          <w:instrText xml:space="preserve"> PAGE   \* MERGEFORMAT </w:instrText>
        </w:r>
        <w:r>
          <w:fldChar w:fldCharType="separate"/>
        </w:r>
        <w:r>
          <w:rPr>
            <w:lang w:val="zh-CN"/>
          </w:rPr>
          <w:t>-</w:t>
        </w:r>
        <w:r>
          <w:t xml:space="preserve"> 5 -</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0"/>
      </w:pBdr>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grayscl/>
                    <a:lum bright="-10001" contrast="40000"/>
                  </a:blip>
                  <a:stretch>
                    <a:fillRect/>
                  </a:stretch>
                </pic:blipFill>
                <pic:spPr>
                  <a:xfrm>
                    <a:off x="0" y="0"/>
                    <a:ext cx="1857375" cy="361950"/>
                  </a:xfrm>
                  <a:prstGeom prst="rect">
                    <a:avLst/>
                  </a:prstGeom>
                  <a:noFill/>
                  <a:ln w="9525">
                    <a:noFill/>
                  </a:ln>
                </pic:spPr>
              </pic:pic>
            </a:graphicData>
          </a:graphic>
        </wp:anchor>
      </w:drawing>
    </w:r>
    <w:r>
      <w:rPr>
        <w:rStyle w:val="10"/>
        <w:rFonts w:hint="eastAsia" w:ascii="方正大黑简体" w:hAnsi="宋体" w:eastAsia="方正大黑简体" w:cs="宋体"/>
        <w:kern w:val="0"/>
        <w:sz w:val="24"/>
        <w:szCs w:val="24"/>
      </w:rPr>
      <w:t xml:space="preserve">                                                        封闭净值型（固定收益类）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2C9455"/>
    <w:multiLevelType w:val="singleLevel"/>
    <w:tmpl w:val="5C2C945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54E7"/>
    <w:rsid w:val="000134A8"/>
    <w:rsid w:val="00017B1C"/>
    <w:rsid w:val="00027925"/>
    <w:rsid w:val="00036F50"/>
    <w:rsid w:val="00056CA6"/>
    <w:rsid w:val="00057C51"/>
    <w:rsid w:val="000620AE"/>
    <w:rsid w:val="00065CD0"/>
    <w:rsid w:val="000744A6"/>
    <w:rsid w:val="000877B1"/>
    <w:rsid w:val="000A6C1E"/>
    <w:rsid w:val="000B647E"/>
    <w:rsid w:val="000C341B"/>
    <w:rsid w:val="000C3A55"/>
    <w:rsid w:val="000D1591"/>
    <w:rsid w:val="000D2E2E"/>
    <w:rsid w:val="000D6D0B"/>
    <w:rsid w:val="000F1BB9"/>
    <w:rsid w:val="00102678"/>
    <w:rsid w:val="00103E2A"/>
    <w:rsid w:val="00104FB7"/>
    <w:rsid w:val="001057CE"/>
    <w:rsid w:val="00122767"/>
    <w:rsid w:val="00127654"/>
    <w:rsid w:val="00160D76"/>
    <w:rsid w:val="00160FA4"/>
    <w:rsid w:val="001832E7"/>
    <w:rsid w:val="001877B7"/>
    <w:rsid w:val="00192035"/>
    <w:rsid w:val="001B0A1B"/>
    <w:rsid w:val="001E35B6"/>
    <w:rsid w:val="001E6FD6"/>
    <w:rsid w:val="0023169C"/>
    <w:rsid w:val="00242CE0"/>
    <w:rsid w:val="00250CBC"/>
    <w:rsid w:val="002638B7"/>
    <w:rsid w:val="00265CED"/>
    <w:rsid w:val="00274D7C"/>
    <w:rsid w:val="002766C7"/>
    <w:rsid w:val="00291CAD"/>
    <w:rsid w:val="002A0F54"/>
    <w:rsid w:val="002B0232"/>
    <w:rsid w:val="002B4D56"/>
    <w:rsid w:val="002B5435"/>
    <w:rsid w:val="002B6B3F"/>
    <w:rsid w:val="002C1170"/>
    <w:rsid w:val="002C22E2"/>
    <w:rsid w:val="002C2B19"/>
    <w:rsid w:val="002C667B"/>
    <w:rsid w:val="002E5D96"/>
    <w:rsid w:val="002F3128"/>
    <w:rsid w:val="003101B6"/>
    <w:rsid w:val="00321270"/>
    <w:rsid w:val="00322636"/>
    <w:rsid w:val="00330A04"/>
    <w:rsid w:val="0033226E"/>
    <w:rsid w:val="0034371F"/>
    <w:rsid w:val="00346991"/>
    <w:rsid w:val="003513C7"/>
    <w:rsid w:val="00353C48"/>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14064"/>
    <w:rsid w:val="004143A3"/>
    <w:rsid w:val="00424BB0"/>
    <w:rsid w:val="004276A7"/>
    <w:rsid w:val="00441819"/>
    <w:rsid w:val="00461D59"/>
    <w:rsid w:val="004662BA"/>
    <w:rsid w:val="004736B8"/>
    <w:rsid w:val="00486467"/>
    <w:rsid w:val="00497028"/>
    <w:rsid w:val="004A082B"/>
    <w:rsid w:val="004B125D"/>
    <w:rsid w:val="004D168D"/>
    <w:rsid w:val="004E66BE"/>
    <w:rsid w:val="004F0EAF"/>
    <w:rsid w:val="00504907"/>
    <w:rsid w:val="00534C9C"/>
    <w:rsid w:val="005540D6"/>
    <w:rsid w:val="00562094"/>
    <w:rsid w:val="005658A4"/>
    <w:rsid w:val="00566784"/>
    <w:rsid w:val="00570E27"/>
    <w:rsid w:val="00574386"/>
    <w:rsid w:val="005843E9"/>
    <w:rsid w:val="00585705"/>
    <w:rsid w:val="0059236A"/>
    <w:rsid w:val="005A1A68"/>
    <w:rsid w:val="005D2FD5"/>
    <w:rsid w:val="005D55AE"/>
    <w:rsid w:val="005D57C6"/>
    <w:rsid w:val="005E1718"/>
    <w:rsid w:val="005E7CEF"/>
    <w:rsid w:val="006059F9"/>
    <w:rsid w:val="006069D4"/>
    <w:rsid w:val="00617D13"/>
    <w:rsid w:val="00630EDA"/>
    <w:rsid w:val="00631673"/>
    <w:rsid w:val="0064054E"/>
    <w:rsid w:val="00651A82"/>
    <w:rsid w:val="00670887"/>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66C0"/>
    <w:rsid w:val="007F3B3B"/>
    <w:rsid w:val="008023DF"/>
    <w:rsid w:val="00807297"/>
    <w:rsid w:val="0085786A"/>
    <w:rsid w:val="00862F53"/>
    <w:rsid w:val="00870AFF"/>
    <w:rsid w:val="0087275A"/>
    <w:rsid w:val="00872F0A"/>
    <w:rsid w:val="008824F8"/>
    <w:rsid w:val="008923AB"/>
    <w:rsid w:val="00893E3B"/>
    <w:rsid w:val="008B6711"/>
    <w:rsid w:val="008C4D5F"/>
    <w:rsid w:val="008E1779"/>
    <w:rsid w:val="008E1C01"/>
    <w:rsid w:val="008E4928"/>
    <w:rsid w:val="008F1D5B"/>
    <w:rsid w:val="00925C7F"/>
    <w:rsid w:val="00927E4F"/>
    <w:rsid w:val="00930A95"/>
    <w:rsid w:val="00945DB2"/>
    <w:rsid w:val="009474C9"/>
    <w:rsid w:val="009572B0"/>
    <w:rsid w:val="00963D3B"/>
    <w:rsid w:val="009C0776"/>
    <w:rsid w:val="009C6028"/>
    <w:rsid w:val="009E17F0"/>
    <w:rsid w:val="00A14CF7"/>
    <w:rsid w:val="00A22469"/>
    <w:rsid w:val="00A22816"/>
    <w:rsid w:val="00A33A8F"/>
    <w:rsid w:val="00A42684"/>
    <w:rsid w:val="00A5074B"/>
    <w:rsid w:val="00A51845"/>
    <w:rsid w:val="00A75A7D"/>
    <w:rsid w:val="00A8794E"/>
    <w:rsid w:val="00AA1BED"/>
    <w:rsid w:val="00AA6CF3"/>
    <w:rsid w:val="00B23AB3"/>
    <w:rsid w:val="00B27077"/>
    <w:rsid w:val="00B35273"/>
    <w:rsid w:val="00B42EB1"/>
    <w:rsid w:val="00B63C4D"/>
    <w:rsid w:val="00B654B4"/>
    <w:rsid w:val="00B65D4B"/>
    <w:rsid w:val="00B670EE"/>
    <w:rsid w:val="00B71B4F"/>
    <w:rsid w:val="00BA0404"/>
    <w:rsid w:val="00BA6EE7"/>
    <w:rsid w:val="00BB6985"/>
    <w:rsid w:val="00BC01F7"/>
    <w:rsid w:val="00BC6ADA"/>
    <w:rsid w:val="00BC79D2"/>
    <w:rsid w:val="00BD2DD4"/>
    <w:rsid w:val="00BD5A67"/>
    <w:rsid w:val="00BE54C4"/>
    <w:rsid w:val="00BF4D00"/>
    <w:rsid w:val="00C0288F"/>
    <w:rsid w:val="00C12121"/>
    <w:rsid w:val="00C2255F"/>
    <w:rsid w:val="00C4011C"/>
    <w:rsid w:val="00C47530"/>
    <w:rsid w:val="00C62391"/>
    <w:rsid w:val="00C7504E"/>
    <w:rsid w:val="00C760BD"/>
    <w:rsid w:val="00C91A83"/>
    <w:rsid w:val="00C97128"/>
    <w:rsid w:val="00CB066C"/>
    <w:rsid w:val="00CC17BC"/>
    <w:rsid w:val="00CC222A"/>
    <w:rsid w:val="00D057BD"/>
    <w:rsid w:val="00D30DEE"/>
    <w:rsid w:val="00D40F11"/>
    <w:rsid w:val="00D42DF5"/>
    <w:rsid w:val="00D47B2D"/>
    <w:rsid w:val="00D64252"/>
    <w:rsid w:val="00DA0230"/>
    <w:rsid w:val="00DD3409"/>
    <w:rsid w:val="00DF1312"/>
    <w:rsid w:val="00DF5706"/>
    <w:rsid w:val="00E1040D"/>
    <w:rsid w:val="00E23387"/>
    <w:rsid w:val="00E463D6"/>
    <w:rsid w:val="00E738A3"/>
    <w:rsid w:val="00E85DFE"/>
    <w:rsid w:val="00E87678"/>
    <w:rsid w:val="00EB6BE0"/>
    <w:rsid w:val="00ED3203"/>
    <w:rsid w:val="00EE722D"/>
    <w:rsid w:val="00EF3A40"/>
    <w:rsid w:val="00EF4313"/>
    <w:rsid w:val="00F06ED9"/>
    <w:rsid w:val="00F33109"/>
    <w:rsid w:val="00F4756F"/>
    <w:rsid w:val="00F50346"/>
    <w:rsid w:val="00F50FB1"/>
    <w:rsid w:val="00F547A2"/>
    <w:rsid w:val="00F61533"/>
    <w:rsid w:val="00F7519D"/>
    <w:rsid w:val="00F93E45"/>
    <w:rsid w:val="00F979B6"/>
    <w:rsid w:val="00FA06A9"/>
    <w:rsid w:val="00FF2CB4"/>
    <w:rsid w:val="00FF35C0"/>
    <w:rsid w:val="014E6199"/>
    <w:rsid w:val="02815AEE"/>
    <w:rsid w:val="03955958"/>
    <w:rsid w:val="03BE3E9D"/>
    <w:rsid w:val="03F10231"/>
    <w:rsid w:val="046C6593"/>
    <w:rsid w:val="049B48CA"/>
    <w:rsid w:val="04AF546C"/>
    <w:rsid w:val="05B64F63"/>
    <w:rsid w:val="05DB5048"/>
    <w:rsid w:val="06AA54B4"/>
    <w:rsid w:val="071612C3"/>
    <w:rsid w:val="074A0594"/>
    <w:rsid w:val="07587474"/>
    <w:rsid w:val="07EC16C9"/>
    <w:rsid w:val="080B763A"/>
    <w:rsid w:val="0907159B"/>
    <w:rsid w:val="0A2C2EA4"/>
    <w:rsid w:val="0A8D7997"/>
    <w:rsid w:val="0B4D005C"/>
    <w:rsid w:val="0BA9533F"/>
    <w:rsid w:val="0C74224A"/>
    <w:rsid w:val="0C7A6F79"/>
    <w:rsid w:val="0CE4070D"/>
    <w:rsid w:val="0DA46A68"/>
    <w:rsid w:val="0DAF0AC9"/>
    <w:rsid w:val="0DCC06A1"/>
    <w:rsid w:val="0DDC7649"/>
    <w:rsid w:val="0E524ABE"/>
    <w:rsid w:val="0E8811E3"/>
    <w:rsid w:val="0E88794A"/>
    <w:rsid w:val="0E8F6CE4"/>
    <w:rsid w:val="0F2849D0"/>
    <w:rsid w:val="0F344F29"/>
    <w:rsid w:val="0F5B16E3"/>
    <w:rsid w:val="0F833DB6"/>
    <w:rsid w:val="11824445"/>
    <w:rsid w:val="120B3115"/>
    <w:rsid w:val="120F35DB"/>
    <w:rsid w:val="121D63BB"/>
    <w:rsid w:val="12295BA1"/>
    <w:rsid w:val="124949D7"/>
    <w:rsid w:val="12780E10"/>
    <w:rsid w:val="12E93A59"/>
    <w:rsid w:val="12EE12F4"/>
    <w:rsid w:val="13DF2514"/>
    <w:rsid w:val="14F135B5"/>
    <w:rsid w:val="150B39CF"/>
    <w:rsid w:val="158B366C"/>
    <w:rsid w:val="15935EA1"/>
    <w:rsid w:val="166528F4"/>
    <w:rsid w:val="16AE17C7"/>
    <w:rsid w:val="17542E5A"/>
    <w:rsid w:val="17D9317F"/>
    <w:rsid w:val="18042655"/>
    <w:rsid w:val="18307F10"/>
    <w:rsid w:val="185946D3"/>
    <w:rsid w:val="195A4BED"/>
    <w:rsid w:val="19617D23"/>
    <w:rsid w:val="1A5D36E1"/>
    <w:rsid w:val="1A8B77C4"/>
    <w:rsid w:val="1AAF2A04"/>
    <w:rsid w:val="1B4476ED"/>
    <w:rsid w:val="1B5442C5"/>
    <w:rsid w:val="1B8B56DD"/>
    <w:rsid w:val="1CFB3A9C"/>
    <w:rsid w:val="1DFC2D88"/>
    <w:rsid w:val="1EC82CB7"/>
    <w:rsid w:val="1EE47BA2"/>
    <w:rsid w:val="1F7455FB"/>
    <w:rsid w:val="1F7C2FF2"/>
    <w:rsid w:val="1F966E48"/>
    <w:rsid w:val="20563BE2"/>
    <w:rsid w:val="213F6FAD"/>
    <w:rsid w:val="219B0D2E"/>
    <w:rsid w:val="2220322C"/>
    <w:rsid w:val="22BC6D50"/>
    <w:rsid w:val="22EB1616"/>
    <w:rsid w:val="24730B3D"/>
    <w:rsid w:val="2534030C"/>
    <w:rsid w:val="25E45274"/>
    <w:rsid w:val="25F21ED5"/>
    <w:rsid w:val="25F77DD4"/>
    <w:rsid w:val="26133099"/>
    <w:rsid w:val="2634550B"/>
    <w:rsid w:val="267A2E2F"/>
    <w:rsid w:val="268E1986"/>
    <w:rsid w:val="278E3FFE"/>
    <w:rsid w:val="27F42EEC"/>
    <w:rsid w:val="282E437B"/>
    <w:rsid w:val="28791365"/>
    <w:rsid w:val="28EC26E5"/>
    <w:rsid w:val="292A75D2"/>
    <w:rsid w:val="29844397"/>
    <w:rsid w:val="29C0055D"/>
    <w:rsid w:val="29FF0896"/>
    <w:rsid w:val="2A455C17"/>
    <w:rsid w:val="2A52489E"/>
    <w:rsid w:val="2AD147D9"/>
    <w:rsid w:val="2BC914E0"/>
    <w:rsid w:val="2C35520A"/>
    <w:rsid w:val="2C4918C9"/>
    <w:rsid w:val="2D110BC6"/>
    <w:rsid w:val="2DA6037C"/>
    <w:rsid w:val="2EC47150"/>
    <w:rsid w:val="2EF04DAC"/>
    <w:rsid w:val="2F41330F"/>
    <w:rsid w:val="2F536B95"/>
    <w:rsid w:val="2F8C2E55"/>
    <w:rsid w:val="2F9117B7"/>
    <w:rsid w:val="2FB06FC7"/>
    <w:rsid w:val="3042169D"/>
    <w:rsid w:val="307A7322"/>
    <w:rsid w:val="31290C6E"/>
    <w:rsid w:val="315437AD"/>
    <w:rsid w:val="33657C64"/>
    <w:rsid w:val="33730894"/>
    <w:rsid w:val="33E756EA"/>
    <w:rsid w:val="34366A70"/>
    <w:rsid w:val="348B16F4"/>
    <w:rsid w:val="351405AD"/>
    <w:rsid w:val="363C0B01"/>
    <w:rsid w:val="36872AFD"/>
    <w:rsid w:val="37014554"/>
    <w:rsid w:val="370234D1"/>
    <w:rsid w:val="37CF7215"/>
    <w:rsid w:val="38183BCB"/>
    <w:rsid w:val="38627E39"/>
    <w:rsid w:val="38E87E13"/>
    <w:rsid w:val="39163510"/>
    <w:rsid w:val="39EA31BF"/>
    <w:rsid w:val="3A332045"/>
    <w:rsid w:val="3A3E4986"/>
    <w:rsid w:val="3A7D3C24"/>
    <w:rsid w:val="3A7F4C3C"/>
    <w:rsid w:val="3B6E4155"/>
    <w:rsid w:val="3B9B1FD9"/>
    <w:rsid w:val="3BC03386"/>
    <w:rsid w:val="3C3F7C9E"/>
    <w:rsid w:val="3D217F19"/>
    <w:rsid w:val="3D4C494C"/>
    <w:rsid w:val="3D537888"/>
    <w:rsid w:val="3D653F1C"/>
    <w:rsid w:val="3DB34675"/>
    <w:rsid w:val="3DFC5C2C"/>
    <w:rsid w:val="3E7B27BF"/>
    <w:rsid w:val="3E8A3700"/>
    <w:rsid w:val="3F0A535E"/>
    <w:rsid w:val="3F196DCE"/>
    <w:rsid w:val="3F2040FB"/>
    <w:rsid w:val="405B732C"/>
    <w:rsid w:val="405F3DE3"/>
    <w:rsid w:val="4076793D"/>
    <w:rsid w:val="409C44FE"/>
    <w:rsid w:val="40DF3AF5"/>
    <w:rsid w:val="413A20B3"/>
    <w:rsid w:val="413C34DF"/>
    <w:rsid w:val="42AC4926"/>
    <w:rsid w:val="42DD237F"/>
    <w:rsid w:val="43121CF7"/>
    <w:rsid w:val="43335DF5"/>
    <w:rsid w:val="43B6405B"/>
    <w:rsid w:val="43BC5778"/>
    <w:rsid w:val="44B22A69"/>
    <w:rsid w:val="44D6630D"/>
    <w:rsid w:val="45401AFB"/>
    <w:rsid w:val="459763C6"/>
    <w:rsid w:val="4598365C"/>
    <w:rsid w:val="45B64890"/>
    <w:rsid w:val="45FB16A4"/>
    <w:rsid w:val="469474E9"/>
    <w:rsid w:val="46BD2285"/>
    <w:rsid w:val="471A3B83"/>
    <w:rsid w:val="47487984"/>
    <w:rsid w:val="47837790"/>
    <w:rsid w:val="47B420DC"/>
    <w:rsid w:val="48122FCB"/>
    <w:rsid w:val="48364538"/>
    <w:rsid w:val="48C41F58"/>
    <w:rsid w:val="498D22D6"/>
    <w:rsid w:val="4A1E0A39"/>
    <w:rsid w:val="4AA84823"/>
    <w:rsid w:val="4B072B50"/>
    <w:rsid w:val="4B281014"/>
    <w:rsid w:val="4B604287"/>
    <w:rsid w:val="4B711779"/>
    <w:rsid w:val="4C7630F9"/>
    <w:rsid w:val="4CD01ACC"/>
    <w:rsid w:val="4CF54780"/>
    <w:rsid w:val="4D5765AE"/>
    <w:rsid w:val="4D7B2FCE"/>
    <w:rsid w:val="4DA44967"/>
    <w:rsid w:val="4DC14671"/>
    <w:rsid w:val="4E377DFA"/>
    <w:rsid w:val="4F9B089F"/>
    <w:rsid w:val="50063C66"/>
    <w:rsid w:val="5035799B"/>
    <w:rsid w:val="504E6E39"/>
    <w:rsid w:val="50CA1DC1"/>
    <w:rsid w:val="511F1CBA"/>
    <w:rsid w:val="51344803"/>
    <w:rsid w:val="51414667"/>
    <w:rsid w:val="515733DC"/>
    <w:rsid w:val="515E5066"/>
    <w:rsid w:val="529E0394"/>
    <w:rsid w:val="52B0246D"/>
    <w:rsid w:val="52B80B3D"/>
    <w:rsid w:val="534C60E1"/>
    <w:rsid w:val="53756306"/>
    <w:rsid w:val="53CA6B62"/>
    <w:rsid w:val="54C43AF6"/>
    <w:rsid w:val="55296C99"/>
    <w:rsid w:val="552B1C1B"/>
    <w:rsid w:val="557C3BE9"/>
    <w:rsid w:val="562F2B32"/>
    <w:rsid w:val="56821D04"/>
    <w:rsid w:val="57995907"/>
    <w:rsid w:val="57E86B41"/>
    <w:rsid w:val="58021263"/>
    <w:rsid w:val="58414428"/>
    <w:rsid w:val="584816BC"/>
    <w:rsid w:val="58FB4856"/>
    <w:rsid w:val="5A3A65B9"/>
    <w:rsid w:val="5B3D2F8C"/>
    <w:rsid w:val="5BA85F91"/>
    <w:rsid w:val="5BBC0B41"/>
    <w:rsid w:val="5C5F2242"/>
    <w:rsid w:val="5D236304"/>
    <w:rsid w:val="5D2F6DB4"/>
    <w:rsid w:val="5D500033"/>
    <w:rsid w:val="5E82211D"/>
    <w:rsid w:val="5EDE091D"/>
    <w:rsid w:val="5EEE79C2"/>
    <w:rsid w:val="5F06242E"/>
    <w:rsid w:val="6062131F"/>
    <w:rsid w:val="60716656"/>
    <w:rsid w:val="6099040F"/>
    <w:rsid w:val="60D12938"/>
    <w:rsid w:val="61647E7F"/>
    <w:rsid w:val="618F1399"/>
    <w:rsid w:val="620B06BE"/>
    <w:rsid w:val="62DC4530"/>
    <w:rsid w:val="63B2608C"/>
    <w:rsid w:val="63D9371B"/>
    <w:rsid w:val="650134AF"/>
    <w:rsid w:val="65CE7B52"/>
    <w:rsid w:val="66437D7B"/>
    <w:rsid w:val="66915AAB"/>
    <w:rsid w:val="6734067F"/>
    <w:rsid w:val="676B2A82"/>
    <w:rsid w:val="68107BBA"/>
    <w:rsid w:val="6A6D0199"/>
    <w:rsid w:val="6ABD731A"/>
    <w:rsid w:val="6B240175"/>
    <w:rsid w:val="6C2346AB"/>
    <w:rsid w:val="6D60040F"/>
    <w:rsid w:val="6D9846CE"/>
    <w:rsid w:val="6E352F0A"/>
    <w:rsid w:val="6EF3563C"/>
    <w:rsid w:val="6F5C6FC8"/>
    <w:rsid w:val="6FD82CAB"/>
    <w:rsid w:val="6FFB2677"/>
    <w:rsid w:val="703C2EBA"/>
    <w:rsid w:val="705469F5"/>
    <w:rsid w:val="71961F41"/>
    <w:rsid w:val="71D81222"/>
    <w:rsid w:val="72550D4E"/>
    <w:rsid w:val="73011DED"/>
    <w:rsid w:val="746F77E5"/>
    <w:rsid w:val="752D0CE0"/>
    <w:rsid w:val="75A21959"/>
    <w:rsid w:val="75B25B27"/>
    <w:rsid w:val="77564DA9"/>
    <w:rsid w:val="77692B6F"/>
    <w:rsid w:val="7778491D"/>
    <w:rsid w:val="779424F8"/>
    <w:rsid w:val="77BB533C"/>
    <w:rsid w:val="7A1F5DC7"/>
    <w:rsid w:val="7A631B88"/>
    <w:rsid w:val="7ABD364D"/>
    <w:rsid w:val="7B5D4C8A"/>
    <w:rsid w:val="7BB32856"/>
    <w:rsid w:val="7CAB3AE1"/>
    <w:rsid w:val="7D0C1DD9"/>
    <w:rsid w:val="7D463D51"/>
    <w:rsid w:val="7DC360C8"/>
    <w:rsid w:val="7E01172B"/>
    <w:rsid w:val="7E5F744D"/>
    <w:rsid w:val="7EDE3071"/>
    <w:rsid w:val="7F200C08"/>
    <w:rsid w:val="7FCD74C2"/>
    <w:rsid w:val="7FF75AA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6"/>
    <w:unhideWhenUsed/>
    <w:qFormat/>
    <w:uiPriority w:val="99"/>
    <w:rPr>
      <w:sz w:val="18"/>
      <w:szCs w:val="18"/>
    </w:r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Autospacing="1" w:afterAutospacing="1"/>
      <w:jc w:val="left"/>
    </w:pPr>
    <w:rPr>
      <w:rFonts w:ascii="Calibri" w:hAnsi="Calibri"/>
      <w:kern w:val="0"/>
      <w:sz w:val="24"/>
      <w:szCs w:val="24"/>
    </w:rPr>
  </w:style>
  <w:style w:type="table" w:styleId="8">
    <w:name w:val="Table Grid"/>
    <w:basedOn w:val="7"/>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99"/>
    <w:rPr>
      <w:rFonts w:cs="Times New Roman"/>
      <w:b/>
      <w:bCs/>
    </w:rPr>
  </w:style>
  <w:style w:type="character" w:styleId="11">
    <w:name w:val="Hyperlink"/>
    <w:basedOn w:val="9"/>
    <w:unhideWhenUsed/>
    <w:qFormat/>
    <w:uiPriority w:val="99"/>
    <w:rPr>
      <w:color w:val="0000FF"/>
      <w:u w:val="single"/>
    </w:rPr>
  </w:style>
  <w:style w:type="character" w:customStyle="1" w:styleId="12">
    <w:name w:val="页眉 Char"/>
    <w:basedOn w:val="9"/>
    <w:link w:val="5"/>
    <w:semiHidden/>
    <w:qFormat/>
    <w:uiPriority w:val="99"/>
    <w:rPr>
      <w:rFonts w:ascii="Times New Roman" w:hAnsi="Times New Roman"/>
      <w:sz w:val="18"/>
      <w:szCs w:val="18"/>
    </w:rPr>
  </w:style>
  <w:style w:type="character" w:customStyle="1" w:styleId="13">
    <w:name w:val="页脚 Char"/>
    <w:basedOn w:val="9"/>
    <w:link w:val="4"/>
    <w:qFormat/>
    <w:uiPriority w:val="99"/>
    <w:rPr>
      <w:rFonts w:ascii="Times New Roman" w:hAnsi="Times New Roman"/>
      <w:sz w:val="18"/>
      <w:szCs w:val="18"/>
    </w:rPr>
  </w:style>
  <w:style w:type="character" w:customStyle="1" w:styleId="14">
    <w:name w:val="fontstyle01"/>
    <w:basedOn w:val="9"/>
    <w:qFormat/>
    <w:uiPriority w:val="0"/>
    <w:rPr>
      <w:rFonts w:hint="eastAsia" w:ascii="宋体" w:hAnsi="宋体" w:eastAsia="宋体" w:cs="宋体"/>
      <w:color w:val="000000"/>
      <w:sz w:val="22"/>
      <w:szCs w:val="22"/>
    </w:rPr>
  </w:style>
  <w:style w:type="character" w:customStyle="1" w:styleId="15">
    <w:name w:val="fontstyle11"/>
    <w:basedOn w:val="9"/>
    <w:qFormat/>
    <w:uiPriority w:val="0"/>
    <w:rPr>
      <w:rFonts w:ascii="仿宋" w:hAnsi="仿宋" w:eastAsia="仿宋" w:cs="仿宋"/>
      <w:color w:val="000000"/>
      <w:sz w:val="22"/>
      <w:szCs w:val="22"/>
    </w:rPr>
  </w:style>
  <w:style w:type="character" w:customStyle="1" w:styleId="16">
    <w:name w:val="批注框文本 Char"/>
    <w:basedOn w:val="9"/>
    <w:link w:val="3"/>
    <w:semiHidden/>
    <w:qFormat/>
    <w:uiPriority w:val="99"/>
    <w:rPr>
      <w:kern w:val="2"/>
      <w:sz w:val="18"/>
      <w:szCs w:val="18"/>
    </w:rPr>
  </w:style>
  <w:style w:type="paragraph" w:customStyle="1" w:styleId="17">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5000</Words>
  <Characters>5464</Characters>
  <Lines>44</Lines>
  <Paragraphs>12</Paragraphs>
  <TotalTime>70</TotalTime>
  <ScaleCrop>false</ScaleCrop>
  <LinksUpToDate>false</LinksUpToDate>
  <CharactersWithSpaces>5594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2019-06-26T10:58:00Z</dcterms:created>
  <dc:creator>曹文芳</dc:creator>
  <cp:lastModifiedBy>曹旭红</cp:lastModifiedBy>
  <cp:lastPrinted>2019-06-26T14:16:00Z</cp:lastPrinted>
  <dcterms:modified xsi:type="dcterms:W3CDTF">2020-11-11T04:36:04Z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