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adjustRightInd w:val="0"/>
        <w:snapToGrid w:val="0"/>
        <w:spacing w:beforeLines="50" w:line="360" w:lineRule="auto"/>
        <w:jc w:val="center"/>
        <w:rPr>
          <w:rStyle w:val="10"/>
          <w:rFonts w:hint="eastAsia" w:ascii="黑体" w:hAnsi="黑体" w:eastAsia="黑体" w:cs="宋体"/>
          <w:b w:val="0"/>
          <w:kern w:val="0"/>
          <w:sz w:val="28"/>
          <w:szCs w:val="28"/>
        </w:rPr>
      </w:pPr>
      <w:r>
        <w:rPr>
          <w:rStyle w:val="10"/>
          <w:rFonts w:hint="eastAsia" w:ascii="黑体" w:hAnsi="黑体" w:eastAsia="黑体" w:cs="宋体"/>
          <w:b w:val="0"/>
          <w:kern w:val="0"/>
          <w:sz w:val="28"/>
          <w:szCs w:val="28"/>
        </w:rPr>
        <w:t>新疆银行</w:t>
      </w:r>
      <w:r>
        <w:rPr>
          <w:rStyle w:val="10"/>
          <w:rFonts w:hint="eastAsia" w:ascii="黑体" w:hAnsi="黑体" w:eastAsia="黑体" w:cs="宋体"/>
          <w:b w:val="0"/>
          <w:kern w:val="0"/>
          <w:sz w:val="28"/>
          <w:szCs w:val="28"/>
          <w:lang w:eastAsia="zh-CN"/>
        </w:rPr>
        <w:t>金胡杨私募封闭式净值</w:t>
      </w:r>
      <w:r>
        <w:rPr>
          <w:rStyle w:val="10"/>
          <w:rFonts w:hint="eastAsia" w:ascii="黑体" w:hAnsi="黑体" w:eastAsia="黑体" w:cs="宋体"/>
          <w:b w:val="0"/>
          <w:kern w:val="0"/>
          <w:sz w:val="28"/>
          <w:szCs w:val="28"/>
        </w:rPr>
        <w:t>理财产品</w:t>
      </w:r>
      <w:bookmarkStart w:id="0" w:name="_GoBack"/>
      <w:bookmarkEnd w:id="0"/>
      <w:r>
        <w:rPr>
          <w:rStyle w:val="10"/>
          <w:rFonts w:hint="eastAsia" w:ascii="黑体" w:hAnsi="黑体" w:eastAsia="黑体" w:cs="宋体"/>
          <w:b w:val="0"/>
          <w:kern w:val="0"/>
          <w:sz w:val="28"/>
          <w:szCs w:val="28"/>
        </w:rPr>
        <w:t>协议书</w:t>
      </w:r>
    </w:p>
    <w:p>
      <w:pPr>
        <w:widowControl/>
        <w:spacing w:line="400" w:lineRule="exact"/>
        <w:jc w:val="center"/>
        <w:rPr>
          <w:rStyle w:val="10"/>
          <w:rFonts w:hint="eastAsia" w:ascii="黑体" w:hAnsi="黑体" w:eastAsia="黑体" w:cs="宋体"/>
          <w:b w:val="0"/>
          <w:kern w:val="0"/>
          <w:sz w:val="28"/>
          <w:szCs w:val="28"/>
        </w:rPr>
      </w:pPr>
      <w:r>
        <w:rPr>
          <w:rStyle w:val="10"/>
          <w:rFonts w:hint="eastAsia" w:ascii="宋体" w:hAnsi="宋体" w:cs="宋体"/>
          <w:kern w:val="0"/>
          <w:sz w:val="18"/>
          <w:szCs w:val="18"/>
        </w:rPr>
        <w:t>理财产品过往业绩不代表其未来表现，不等于理财产品实际收益</w:t>
      </w:r>
    </w:p>
    <w:p>
      <w:pPr>
        <w:widowControl/>
        <w:spacing w:line="400" w:lineRule="exact"/>
        <w:jc w:val="center"/>
        <w:rPr>
          <w:rStyle w:val="10"/>
          <w:rFonts w:ascii="宋体" w:hAnsi="宋体" w:cs="宋体"/>
          <w:kern w:val="0"/>
          <w:sz w:val="18"/>
          <w:szCs w:val="18"/>
        </w:rPr>
      </w:pPr>
      <w:r>
        <w:rPr>
          <w:rStyle w:val="10"/>
          <w:rFonts w:hint="eastAsia" w:ascii="宋体" w:hAnsi="宋体" w:cs="宋体"/>
          <w:kern w:val="0"/>
          <w:sz w:val="18"/>
          <w:szCs w:val="18"/>
        </w:rPr>
        <w:t>理财非存款、产品有风险、投资须谨慎</w:t>
      </w:r>
    </w:p>
    <w:p>
      <w:pPr>
        <w:widowControl/>
        <w:adjustRightInd w:val="0"/>
        <w:snapToGrid w:val="0"/>
        <w:spacing w:beforeLines="50" w:line="360" w:lineRule="auto"/>
        <w:ind w:firstLine="570"/>
        <w:jc w:val="left"/>
        <w:rPr>
          <w:rStyle w:val="10"/>
          <w:rFonts w:hint="eastAsia" w:cs="宋体" w:asciiTheme="minorEastAsia" w:hAnsiTheme="minorEastAsia" w:eastAsiaTheme="minorEastAsia"/>
          <w:b w:val="0"/>
          <w:kern w:val="0"/>
          <w:szCs w:val="21"/>
        </w:rPr>
      </w:pPr>
      <w:r>
        <w:rPr>
          <w:rStyle w:val="10"/>
          <w:rFonts w:hint="eastAsia" w:cs="宋体" w:asciiTheme="minorEastAsia" w:hAnsiTheme="minorEastAsia" w:eastAsiaTheme="minorEastAsia"/>
          <w:b w:val="0"/>
          <w:kern w:val="0"/>
          <w:szCs w:val="21"/>
        </w:rPr>
        <w:t>甲方（投资者）自愿购买乙方（银行）发行的理财产品，经双方协商一致，签订本协议。本协议为规范甲乙双方在理财业务中权利和义务的法律文件。</w:t>
      </w:r>
    </w:p>
    <w:tbl>
      <w:tblPr>
        <w:tblStyle w:val="7"/>
        <w:tblW w:w="996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45"/>
        <w:gridCol w:w="1246"/>
        <w:gridCol w:w="1245"/>
        <w:gridCol w:w="200"/>
        <w:gridCol w:w="854"/>
        <w:gridCol w:w="219"/>
        <w:gridCol w:w="486"/>
        <w:gridCol w:w="713"/>
        <w:gridCol w:w="46"/>
        <w:gridCol w:w="1385"/>
        <w:gridCol w:w="1106"/>
        <w:gridCol w:w="121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9962" w:type="dxa"/>
            <w:gridSpan w:val="12"/>
            <w:tcBorders>
              <w:bottom w:val="single" w:color="000000" w:sz="4" w:space="0"/>
            </w:tcBorders>
            <w:shd w:val="clear" w:color="auto" w:fill="3399FF"/>
          </w:tcPr>
          <w:p>
            <w:pPr>
              <w:widowControl/>
              <w:jc w:val="center"/>
              <w:rPr>
                <w:rFonts w:cs="宋体" w:asciiTheme="minorEastAsia" w:hAnsiTheme="minorEastAsia" w:eastAsiaTheme="minorEastAsia"/>
                <w:b/>
                <w:color w:val="000000"/>
                <w:kern w:val="0"/>
                <w:sz w:val="22"/>
              </w:rPr>
            </w:pPr>
            <w:r>
              <w:rPr>
                <w:rFonts w:hint="eastAsia" w:cs="宋体" w:asciiTheme="minorEastAsia" w:hAnsiTheme="minorEastAsia" w:eastAsiaTheme="minorEastAsia"/>
                <w:b/>
                <w:color w:val="000000"/>
                <w:kern w:val="0"/>
                <w:sz w:val="22"/>
              </w:rPr>
              <w:t>一、基本信息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9962" w:type="dxa"/>
            <w:gridSpan w:val="12"/>
            <w:tcBorders>
              <w:bottom w:val="single" w:color="000000" w:sz="4" w:space="0"/>
            </w:tcBorders>
            <w:shd w:val="clear" w:color="auto" w:fill="3399FF"/>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甲方基本信息（投资者基本信息）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9962" w:type="dxa"/>
            <w:gridSpan w:val="12"/>
            <w:tcBorders>
              <w:top w:val="single" w:color="000000" w:sz="4" w:space="0"/>
              <w:left w:val="single" w:color="000000" w:sz="4" w:space="0"/>
              <w:right w:val="single" w:color="000000" w:sz="4" w:space="0"/>
            </w:tcBorders>
            <w:shd w:val="clear" w:color="auto" w:fill="3399FF"/>
          </w:tcPr>
          <w:p>
            <w:pPr>
              <w:jc w:val="center"/>
              <w:rPr>
                <w:rFonts w:cs="宋体" w:asciiTheme="minorEastAsia" w:hAnsiTheme="minorEastAsia" w:eastAsiaTheme="minorEastAsia"/>
                <w:b/>
                <w:color w:val="000000"/>
                <w:kern w:val="0"/>
                <w:sz w:val="22"/>
              </w:rPr>
            </w:pPr>
            <w:r>
              <w:rPr>
                <w:rFonts w:hint="eastAsia" w:cs="宋体" w:asciiTheme="minorEastAsia" w:hAnsiTheme="minorEastAsia" w:eastAsiaTheme="minorEastAsia"/>
                <w:b/>
                <w:color w:val="000000"/>
                <w:kern w:val="0"/>
                <w:sz w:val="22"/>
              </w:rPr>
              <w:t>投资者填写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姓名</w:t>
            </w:r>
          </w:p>
        </w:tc>
        <w:tc>
          <w:tcPr>
            <w:tcW w:w="1246"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性别</w:t>
            </w:r>
          </w:p>
        </w:tc>
        <w:tc>
          <w:tcPr>
            <w:tcW w:w="1273" w:type="dxa"/>
            <w:gridSpan w:val="3"/>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245" w:type="dxa"/>
            <w:gridSpan w:val="3"/>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国籍</w:t>
            </w:r>
          </w:p>
        </w:tc>
        <w:tc>
          <w:tcPr>
            <w:tcW w:w="138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106"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职业</w:t>
            </w:r>
          </w:p>
        </w:tc>
        <w:tc>
          <w:tcPr>
            <w:tcW w:w="1217"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证件种类</w:t>
            </w:r>
          </w:p>
        </w:tc>
        <w:tc>
          <w:tcPr>
            <w:tcW w:w="1246"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证件号码</w:t>
            </w:r>
          </w:p>
        </w:tc>
        <w:tc>
          <w:tcPr>
            <w:tcW w:w="2518" w:type="dxa"/>
            <w:gridSpan w:val="6"/>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38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证件有效期</w:t>
            </w:r>
          </w:p>
        </w:tc>
        <w:tc>
          <w:tcPr>
            <w:tcW w:w="2323"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家庭地址</w:t>
            </w:r>
          </w:p>
        </w:tc>
        <w:tc>
          <w:tcPr>
            <w:tcW w:w="5009" w:type="dxa"/>
            <w:gridSpan w:val="8"/>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38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2323"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单位地址</w:t>
            </w:r>
          </w:p>
        </w:tc>
        <w:tc>
          <w:tcPr>
            <w:tcW w:w="5009" w:type="dxa"/>
            <w:gridSpan w:val="8"/>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c>
          <w:tcPr>
            <w:tcW w:w="1385" w:type="dxa"/>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手机号码</w:t>
            </w:r>
          </w:p>
        </w:tc>
        <w:tc>
          <w:tcPr>
            <w:tcW w:w="2323"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9962" w:type="dxa"/>
            <w:gridSpan w:val="12"/>
            <w:shd w:val="clear" w:color="auto" w:fill="3399FF"/>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乙方基本信息（银行基本信息）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乙    方</w:t>
            </w:r>
          </w:p>
        </w:tc>
        <w:tc>
          <w:tcPr>
            <w:tcW w:w="8717" w:type="dxa"/>
            <w:gridSpan w:val="1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新疆银行股份有限公司</w:t>
            </w:r>
            <w:r>
              <w:rPr>
                <w:rFonts w:hint="eastAsia" w:cs="宋体" w:asciiTheme="minorEastAsia" w:hAnsiTheme="minorEastAsia" w:eastAsiaTheme="minorEastAsia"/>
                <w:color w:val="000000"/>
                <w:kern w:val="0"/>
                <w:sz w:val="22"/>
                <w:u w:val="single"/>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联系地址</w:t>
            </w:r>
          </w:p>
        </w:tc>
        <w:tc>
          <w:tcPr>
            <w:tcW w:w="3545" w:type="dxa"/>
            <w:gridSpan w:val="4"/>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418" w:type="dxa"/>
            <w:gridSpan w:val="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邮政编码</w:t>
            </w:r>
          </w:p>
        </w:tc>
        <w:tc>
          <w:tcPr>
            <w:tcW w:w="3754" w:type="dxa"/>
            <w:gridSpan w:val="4"/>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3545" w:type="dxa"/>
            <w:gridSpan w:val="4"/>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418" w:type="dxa"/>
            <w:gridSpan w:val="3"/>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3754" w:type="dxa"/>
            <w:gridSpan w:val="4"/>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9962" w:type="dxa"/>
            <w:gridSpan w:val="12"/>
            <w:shd w:val="clear" w:color="auto" w:fill="3399FF"/>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业务基本信息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业    务</w:t>
            </w:r>
          </w:p>
        </w:tc>
        <w:tc>
          <w:tcPr>
            <w:tcW w:w="8717" w:type="dxa"/>
            <w:gridSpan w:val="11"/>
          </w:tcPr>
          <w:p>
            <w:pPr>
              <w:widowControl/>
              <w:jc w:val="center"/>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□购买        □赎回        □撤单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产品名称</w:t>
            </w:r>
          </w:p>
        </w:tc>
        <w:tc>
          <w:tcPr>
            <w:tcW w:w="2691" w:type="dxa"/>
            <w:gridSpan w:val="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559" w:type="dxa"/>
            <w:gridSpan w:val="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产品代码</w:t>
            </w:r>
          </w:p>
        </w:tc>
        <w:tc>
          <w:tcPr>
            <w:tcW w:w="4467" w:type="dxa"/>
            <w:gridSpan w:val="5"/>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交易币种</w:t>
            </w:r>
          </w:p>
        </w:tc>
        <w:tc>
          <w:tcPr>
            <w:tcW w:w="2691" w:type="dxa"/>
            <w:gridSpan w:val="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559" w:type="dxa"/>
            <w:gridSpan w:val="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交易金额</w:t>
            </w:r>
          </w:p>
        </w:tc>
        <w:tc>
          <w:tcPr>
            <w:tcW w:w="4467" w:type="dxa"/>
            <w:gridSpan w:val="5"/>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xml:space="preserve">　       大写：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5" w:type="dxa"/>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卡/账号</w:t>
            </w:r>
          </w:p>
        </w:tc>
        <w:tc>
          <w:tcPr>
            <w:tcW w:w="2691" w:type="dxa"/>
            <w:gridSpan w:val="3"/>
            <w:tcBorders>
              <w:bottom w:val="single" w:color="000000" w:sz="4" w:space="0"/>
            </w:tcBorders>
          </w:tcPr>
          <w:p>
            <w:pPr>
              <w:widowControl/>
              <w:jc w:val="left"/>
              <w:rPr>
                <w:rFonts w:cs="宋体" w:asciiTheme="minorEastAsia" w:hAnsiTheme="minorEastAsia" w:eastAsiaTheme="minorEastAsia"/>
                <w:color w:val="000000"/>
                <w:kern w:val="0"/>
                <w:sz w:val="22"/>
              </w:rPr>
            </w:pPr>
          </w:p>
        </w:tc>
        <w:tc>
          <w:tcPr>
            <w:tcW w:w="1559" w:type="dxa"/>
            <w:gridSpan w:val="3"/>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交易份额</w:t>
            </w:r>
          </w:p>
        </w:tc>
        <w:tc>
          <w:tcPr>
            <w:tcW w:w="4467" w:type="dxa"/>
            <w:gridSpan w:val="5"/>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xml:space="preserve">         大写：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2"/>
            <w:tcBorders>
              <w:bottom w:val="single" w:color="000000" w:sz="4" w:space="0"/>
            </w:tcBorders>
          </w:tcPr>
          <w:p>
            <w:pPr>
              <w:widowControl/>
              <w:tabs>
                <w:tab w:val="left" w:pos="8070"/>
                <w:tab w:val="right" w:pos="8306"/>
              </w:tabs>
              <w:adjustRightInd w:val="0"/>
              <w:snapToGrid w:val="0"/>
              <w:spacing w:line="360" w:lineRule="auto"/>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 xml:space="preserve">    新疆</w:t>
            </w:r>
            <w:r>
              <w:rPr>
                <w:rFonts w:hint="eastAsia" w:cs="宋体" w:asciiTheme="minorEastAsia" w:hAnsiTheme="minorEastAsia" w:eastAsiaTheme="minorEastAsia"/>
                <w:bCs/>
                <w:kern w:val="0"/>
                <w:szCs w:val="21"/>
                <w:lang w:eastAsia="zh-CN"/>
              </w:rPr>
              <w:t>银行金胡杨私募封闭式净值</w:t>
            </w:r>
            <w:r>
              <w:rPr>
                <w:rFonts w:hint="eastAsia" w:cs="宋体" w:asciiTheme="minorEastAsia" w:hAnsiTheme="minorEastAsia" w:eastAsiaTheme="minorEastAsia"/>
                <w:bCs/>
                <w:kern w:val="0"/>
                <w:szCs w:val="21"/>
              </w:rPr>
              <w:t>理财产品合同由《风险揭示书》、《产品说明书》、《客户权益须知》、本协议书及客户签署的相关业务凭证共同组成。</w:t>
            </w:r>
          </w:p>
          <w:p>
            <w:pPr>
              <w:widowControl/>
              <w:tabs>
                <w:tab w:val="left" w:pos="8070"/>
                <w:tab w:val="right" w:pos="8306"/>
              </w:tabs>
              <w:adjustRightInd w:val="0"/>
              <w:snapToGrid w:val="0"/>
              <w:spacing w:line="360" w:lineRule="auto"/>
              <w:ind w:firstLine="420" w:firstLineChars="20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理财产品的具体风险和要素详见《风险揭示书》、《产品说明书》和《客户权益须知》等相关文件，上述文件为本协议不可分割的组成部分。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2"/>
            <w:shd w:val="clear" w:color="auto" w:fill="3399FF"/>
            <w:vAlign w:val="center"/>
          </w:tcPr>
          <w:p>
            <w:pPr>
              <w:widowControl/>
              <w:tabs>
                <w:tab w:val="left" w:pos="8070"/>
                <w:tab w:val="right" w:pos="8306"/>
              </w:tabs>
              <w:adjustRightInd w:val="0"/>
              <w:snapToGrid w:val="0"/>
              <w:spacing w:line="360" w:lineRule="auto"/>
              <w:jc w:val="center"/>
              <w:rPr>
                <w:rFonts w:cs="宋体" w:asciiTheme="minorEastAsia" w:hAnsiTheme="minorEastAsia" w:eastAsiaTheme="minorEastAsia"/>
                <w:b/>
                <w:bCs/>
                <w:kern w:val="0"/>
                <w:szCs w:val="21"/>
              </w:rPr>
            </w:pPr>
            <w:r>
              <w:rPr>
                <w:rStyle w:val="10"/>
                <w:rFonts w:hint="eastAsia" w:cs="宋体" w:asciiTheme="minorEastAsia" w:hAnsiTheme="minorEastAsia" w:eastAsiaTheme="minorEastAsia"/>
                <w:kern w:val="0"/>
                <w:szCs w:val="21"/>
              </w:rPr>
              <w:t>二、甲方申明与保证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2"/>
            <w:tcBorders>
              <w:bottom w:val="single" w:color="000000" w:sz="4" w:space="0"/>
            </w:tcBorders>
          </w:tcPr>
          <w:p>
            <w:pPr>
              <w:widowControl/>
              <w:tabs>
                <w:tab w:val="left" w:pos="0"/>
              </w:tabs>
              <w:adjustRightInd w:val="0"/>
              <w:snapToGrid w:val="0"/>
              <w:spacing w:line="360" w:lineRule="auto"/>
              <w:ind w:firstLine="360"/>
              <w:jc w:val="left"/>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投资者申明与保证：</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cs="宋体" w:asciiTheme="minorEastAsia" w:hAnsiTheme="minorEastAsia" w:eastAsiaTheme="minorEastAsia"/>
                <w:bCs/>
                <w:kern w:val="0"/>
                <w:szCs w:val="21"/>
              </w:rPr>
              <w:t>1.</w:t>
            </w:r>
            <w:r>
              <w:rPr>
                <w:rFonts w:hint="eastAsia" w:cs="宋体" w:asciiTheme="minorEastAsia" w:hAnsiTheme="minorEastAsia" w:eastAsiaTheme="minorEastAsia"/>
                <w:bCs/>
                <w:kern w:val="0"/>
                <w:szCs w:val="21"/>
              </w:rPr>
              <w:t>甲方具有完全民事行为能力，以本人合法所有的资金购买理财产品；</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2.甲方为港、澳、台人士或外籍人士的，其购买理财产品的资质及资金符合相关法律法规及监管的要求；</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3.甲方已如实向乙方披露其风险承受能力状况及相关信息，并签署、确认《风险评估问卷》、《风险揭示书》</w:t>
            </w:r>
            <w:r>
              <w:rPr>
                <w:rFonts w:hint="eastAsia" w:cs="宋体" w:asciiTheme="minorEastAsia" w:hAnsiTheme="minorEastAsia" w:eastAsiaTheme="minorEastAsia"/>
                <w:bCs/>
                <w:kern w:val="0"/>
                <w:szCs w:val="21"/>
                <w:lang w:eastAsia="zh-CN"/>
              </w:rPr>
              <w:t>等产品销售文件</w:t>
            </w:r>
            <w:r>
              <w:rPr>
                <w:rFonts w:hint="eastAsia" w:cs="宋体" w:asciiTheme="minorEastAsia" w:hAnsiTheme="minorEastAsia" w:eastAsiaTheme="minorEastAsia"/>
                <w:bCs/>
                <w:kern w:val="0"/>
                <w:szCs w:val="21"/>
              </w:rPr>
              <w:t>；如发生可能影响其风险承受能力的情况，甲方应及时进行风险承受能力再评估；</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4.甲方清楚知晓、接受并承诺遵守理财产品合同，对其条款内容不存在任何疑问或异议，清楚了解所购买理财产品的收益类型、适用客户类别、主要风险、投资方向、流动性等内容，完全知晓理财产品可能出现的各种风险，愿意并能够承担这些风险；</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5.乙方向甲方提供的产品分析及预测仅供参考，甲方据此做出的任何决策出于甲方自己的判断，投资决策风险由甲方自行承担。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2"/>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
                <w:bCs/>
                <w:kern w:val="0"/>
                <w:szCs w:val="21"/>
              </w:rPr>
            </w:pPr>
            <w:r>
              <w:rPr>
                <w:rStyle w:val="10"/>
                <w:rFonts w:hint="eastAsia" w:cs="宋体" w:asciiTheme="minorEastAsia" w:hAnsiTheme="minorEastAsia" w:eastAsiaTheme="minorEastAsia"/>
                <w:kern w:val="0"/>
                <w:szCs w:val="21"/>
              </w:rPr>
              <w:t>三、风险提示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2"/>
            <w:tcBorders>
              <w:bottom w:val="single" w:color="000000" w:sz="4" w:space="0"/>
            </w:tcBorders>
          </w:tcPr>
          <w:p>
            <w:pPr>
              <w:widowControl/>
              <w:tabs>
                <w:tab w:val="left" w:pos="8070"/>
                <w:tab w:val="right" w:pos="8306"/>
              </w:tabs>
              <w:adjustRightInd w:val="0"/>
              <w:snapToGrid w:val="0"/>
              <w:spacing w:line="360" w:lineRule="auto"/>
              <w:ind w:firstLine="405"/>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1.乙方销售的理财产品与存款存在明显区别，投资理财产品可能面临政策风险、市场风险、信用风险、流动性风险等，具体详见《风险揭示书》。甲方在购买理财产品前，应仔细阅读并充分理解该理财产品的详细条款及可能发生的风险。</w:t>
            </w:r>
          </w:p>
          <w:p>
            <w:pPr>
              <w:widowControl/>
              <w:tabs>
                <w:tab w:val="left" w:pos="8070"/>
                <w:tab w:val="right" w:pos="8306"/>
              </w:tabs>
              <w:adjustRightInd w:val="0"/>
              <w:snapToGrid w:val="0"/>
              <w:spacing w:line="360" w:lineRule="auto"/>
              <w:ind w:firstLine="405"/>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highlight w:val="none"/>
              </w:rPr>
              <w:t>2.</w:t>
            </w:r>
            <w:r>
              <w:rPr>
                <w:rFonts w:hint="eastAsia" w:cs="宋体" w:asciiTheme="minorEastAsia" w:hAnsiTheme="minorEastAsia" w:eastAsiaTheme="minorEastAsia"/>
                <w:kern w:val="0"/>
                <w:szCs w:val="21"/>
                <w:highlight w:val="none"/>
                <w:lang w:eastAsia="zh-CN"/>
              </w:rPr>
              <w:t>私募封闭式净值理财产品</w:t>
            </w:r>
            <w:r>
              <w:rPr>
                <w:rFonts w:hint="eastAsia" w:cs="宋体" w:asciiTheme="minorEastAsia" w:hAnsiTheme="minorEastAsia" w:eastAsiaTheme="minorEastAsia"/>
                <w:kern w:val="0"/>
                <w:szCs w:val="21"/>
                <w:highlight w:val="none"/>
              </w:rPr>
              <w:t>：</w:t>
            </w:r>
            <w:r>
              <w:rPr>
                <w:rFonts w:hint="eastAsia" w:cs="宋体" w:asciiTheme="minorEastAsia" w:hAnsiTheme="minorEastAsia" w:eastAsiaTheme="minorEastAsia"/>
                <w:kern w:val="0"/>
                <w:szCs w:val="21"/>
              </w:rPr>
              <w:t>不保证甲方理财资金本金和收益，甲方可能会蒙受不同程度的损失（包括不同程度本金损失），甲方应充分认识投资风险，谨慎投资。</w:t>
            </w:r>
          </w:p>
          <w:p>
            <w:pPr>
              <w:widowControl/>
              <w:tabs>
                <w:tab w:val="left" w:pos="8070"/>
                <w:tab w:val="right" w:pos="8306"/>
              </w:tabs>
              <w:adjustRightInd w:val="0"/>
              <w:snapToGrid w:val="0"/>
              <w:spacing w:line="360" w:lineRule="auto"/>
              <w:ind w:firstLine="405"/>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3.理财产品业绩表现将随市场波动，具有不确定性，业绩比较基准仅供甲方参考，不构成新疆银行对产品实际投资收益率的承诺或担保，客户的实际收益由产品净值决定。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2"/>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10"/>
                <w:rFonts w:hint="eastAsia" w:cs="宋体" w:asciiTheme="minorEastAsia" w:hAnsiTheme="minorEastAsia" w:eastAsiaTheme="minorEastAsia"/>
                <w:kern w:val="0"/>
                <w:szCs w:val="21"/>
              </w:rPr>
              <w:t>四、双方权利与义务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2"/>
            <w:tcBorders>
              <w:bottom w:val="single" w:color="000000" w:sz="4" w:space="0"/>
            </w:tcBorders>
          </w:tcPr>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1.甲方有权依照理财产品合同约定获取理财收益，在约定的投资期内，理财资金本金不另计存款利息。</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2.甲方有权充分了解理财产品合同的条款以及可能发生的风险，充分了解理财产品的管理、运用、处分及收支情况，并有权要求乙方按照有关程序做出说明。</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3.甲方有义务保证理财资金的来源合法</w:t>
            </w:r>
            <w:r>
              <w:rPr>
                <w:rFonts w:hint="eastAsia" w:asciiTheme="minorEastAsia" w:hAnsiTheme="minorEastAsia" w:eastAsiaTheme="minorEastAsia"/>
                <w:szCs w:val="21"/>
                <w:lang w:eastAsia="zh-CN"/>
              </w:rPr>
              <w:t>，符合合格投资者要求，</w:t>
            </w:r>
            <w:r>
              <w:rPr>
                <w:rFonts w:hint="eastAsia" w:asciiTheme="minorEastAsia" w:hAnsiTheme="minorEastAsia" w:eastAsiaTheme="minorEastAsia"/>
                <w:szCs w:val="21"/>
              </w:rPr>
              <w:t>购买理财产品的行为符合法律法规、监管规定及国家政策。</w:t>
            </w:r>
          </w:p>
          <w:p>
            <w:pPr>
              <w:widowControl/>
              <w:adjustRightInd w:val="0"/>
              <w:snapToGrid w:val="0"/>
              <w:spacing w:line="360" w:lineRule="auto"/>
              <w:jc w:val="left"/>
              <w:rPr>
                <w:rFonts w:hint="eastAsia" w:asciiTheme="minorEastAsia" w:hAnsiTheme="minorEastAsia" w:eastAsiaTheme="minorEastAsia"/>
                <w:szCs w:val="21"/>
                <w:lang w:eastAsia="zh-CN"/>
              </w:rPr>
            </w:pPr>
            <w:r>
              <w:rPr>
                <w:rFonts w:hint="eastAsia" w:asciiTheme="minorEastAsia" w:hAnsiTheme="minorEastAsia" w:eastAsiaTheme="minorEastAsia"/>
                <w:szCs w:val="21"/>
              </w:rPr>
              <w:t xml:space="preserve">    4.甲方有义务保证所提供的信息、资料真实有效，如变更，应及时到乙方办理变更登记，因甲方未及时办理相关变更手续而造成的损失，乙方不承担责任。本协议履行过程中乙方需联系甲方时，乙方按照本协议中约定的联系或通知方式联系甲方</w:t>
            </w:r>
            <w:r>
              <w:rPr>
                <w:rFonts w:hint="eastAsia" w:asciiTheme="minorEastAsia" w:hAnsiTheme="minorEastAsia" w:eastAsiaTheme="minorEastAsia"/>
                <w:szCs w:val="21"/>
                <w:lang w:eastAsia="zh-CN"/>
              </w:rPr>
              <w:t>。</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5.甲方有义务在其资金账户（下称“甲方资金账户”） 中预留足额的认</w:t>
            </w:r>
            <w:r>
              <w:rPr>
                <w:rFonts w:hint="eastAsia" w:asciiTheme="minorEastAsia" w:hAnsiTheme="minorEastAsia" w:eastAsiaTheme="minorEastAsia"/>
                <w:szCs w:val="21"/>
                <w:lang w:eastAsia="zh-CN"/>
              </w:rPr>
              <w:t>购</w:t>
            </w:r>
            <w:r>
              <w:rPr>
                <w:rFonts w:hint="eastAsia" w:asciiTheme="minorEastAsia" w:hAnsiTheme="minorEastAsia" w:eastAsiaTheme="minorEastAsia"/>
                <w:szCs w:val="21"/>
              </w:rPr>
              <w:t>资金，并按照理财产品合同和乙方业务规则办理</w:t>
            </w:r>
            <w:r>
              <w:rPr>
                <w:rFonts w:hint="eastAsia" w:asciiTheme="minorEastAsia" w:hAnsiTheme="minorEastAsia" w:eastAsiaTheme="minorEastAsia"/>
                <w:szCs w:val="21"/>
                <w:lang w:eastAsia="zh-CN"/>
              </w:rPr>
              <w:t>认购</w:t>
            </w:r>
            <w:r>
              <w:rPr>
                <w:rFonts w:hint="eastAsia" w:asciiTheme="minorEastAsia" w:hAnsiTheme="minorEastAsia" w:eastAsiaTheme="minorEastAsia"/>
                <w:szCs w:val="21"/>
              </w:rPr>
              <w:t>理财产品，缴纳认</w:t>
            </w:r>
            <w:r>
              <w:rPr>
                <w:rFonts w:hint="eastAsia" w:asciiTheme="minorEastAsia" w:hAnsiTheme="minorEastAsia" w:eastAsiaTheme="minorEastAsia"/>
                <w:szCs w:val="21"/>
                <w:lang w:eastAsia="zh-CN"/>
              </w:rPr>
              <w:t>购</w:t>
            </w:r>
            <w:r>
              <w:rPr>
                <w:rFonts w:hint="eastAsia" w:asciiTheme="minorEastAsia" w:hAnsiTheme="minorEastAsia" w:eastAsiaTheme="minorEastAsia"/>
                <w:szCs w:val="21"/>
              </w:rPr>
              <w:t>相关费用。如因甲方资金账户冻结、挂失、换卡、销户、长期不动户、变更或其他甲方原因导致理财认</w:t>
            </w:r>
            <w:r>
              <w:rPr>
                <w:rFonts w:hint="eastAsia" w:asciiTheme="minorEastAsia" w:hAnsiTheme="minorEastAsia" w:eastAsiaTheme="minorEastAsia"/>
                <w:szCs w:val="21"/>
                <w:lang w:eastAsia="zh-CN"/>
              </w:rPr>
              <w:t>购</w:t>
            </w:r>
            <w:r>
              <w:rPr>
                <w:rFonts w:hint="eastAsia" w:asciiTheme="minorEastAsia" w:hAnsiTheme="minorEastAsia" w:eastAsiaTheme="minorEastAsia"/>
                <w:szCs w:val="21"/>
              </w:rPr>
              <w:t>等行为无效的，乙方不承担责任。</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6.甲方有义务在理财产品到期日前，不提前支取本金、收益或要求乙方提前退还被扣划款项，且不得将甲方用于购买理财产品或返还本金、收益的资金账户销户。</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lang w:val="en-US" w:eastAsia="zh-CN"/>
              </w:rPr>
              <w:t>7</w:t>
            </w:r>
            <w:r>
              <w:rPr>
                <w:rFonts w:hint="eastAsia" w:asciiTheme="minorEastAsia" w:hAnsiTheme="minorEastAsia" w:eastAsiaTheme="minorEastAsia"/>
                <w:szCs w:val="21"/>
              </w:rPr>
              <w:t>.乙方有权确定理财产品的销售渠道及其覆盖范围，并及时通知甲方。</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lang w:val="en-US" w:eastAsia="zh-CN"/>
              </w:rPr>
              <w:t>8</w:t>
            </w:r>
            <w:r>
              <w:rPr>
                <w:rFonts w:hint="eastAsia" w:asciiTheme="minorEastAsia" w:hAnsiTheme="minorEastAsia" w:eastAsiaTheme="minorEastAsia"/>
                <w:szCs w:val="21"/>
              </w:rPr>
              <w:t>.乙方有权依据理财产品合同独立对理财资金进行投资管理，并可委托经相关监管机构批准或认可的其他金融机构对理财资金进行投资管理。</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lang w:val="en-US" w:eastAsia="zh-CN"/>
              </w:rPr>
              <w:t>9</w:t>
            </w:r>
            <w:r>
              <w:rPr>
                <w:rFonts w:hint="eastAsia" w:asciiTheme="minorEastAsia" w:hAnsiTheme="minorEastAsia" w:eastAsiaTheme="minorEastAsia"/>
                <w:szCs w:val="21"/>
              </w:rPr>
              <w:t>.乙方有权从甲方资金账户扣划本协议项下理财产品相应认/申购资金等理财款项； 除非双方另有书面约定，在甲方购买风险较高或单笔金额较大的理财产品情形下，乙方进行上述资金扣划时无须与甲方再进行电话等任何方式的最后确认，如甲方不同意购买该理财产品且《产品说明书》约定可以撤销购买，甲方应在乙方规定的交易截止时点前及时通知乙方。</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lang w:val="en-US" w:eastAsia="zh-CN"/>
              </w:rPr>
              <w:t>10</w:t>
            </w:r>
            <w:r>
              <w:rPr>
                <w:rFonts w:hint="eastAsia" w:asciiTheme="minorEastAsia" w:hAnsiTheme="minorEastAsia" w:eastAsiaTheme="minorEastAsia"/>
                <w:szCs w:val="21"/>
              </w:rPr>
              <w:t>.乙方有权依据理财产品合同决定理财资金本金和收益分配方案；乙方有权向甲方收取一定的理财产品管理费、销售费、托管费等相关费用，具体收费项目、条件、方式和标准详见《产品说明书》。</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w:t>
            </w:r>
            <w:r>
              <w:rPr>
                <w:rFonts w:hint="eastAsia" w:asciiTheme="minorEastAsia" w:hAnsiTheme="minorEastAsia" w:eastAsiaTheme="minorEastAsia"/>
                <w:szCs w:val="21"/>
                <w:lang w:val="en-US" w:eastAsia="zh-CN"/>
              </w:rPr>
              <w:t>1</w:t>
            </w:r>
            <w:r>
              <w:rPr>
                <w:rFonts w:hint="eastAsia" w:asciiTheme="minorEastAsia" w:hAnsiTheme="minorEastAsia" w:eastAsiaTheme="minorEastAsia"/>
                <w:szCs w:val="21"/>
              </w:rPr>
              <w:t xml:space="preserve">.认购期满，如募集资金未达到《产品说明书》所规定的规模下限，乙方有权终止该理财产品或相应延长认购期；如提前达到《产品说明书》所规定的募集金额上限，乙方有权提前结束认购并相应调整理财产品起息日和到期日。 </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w:t>
            </w:r>
            <w:r>
              <w:rPr>
                <w:rFonts w:hint="eastAsia" w:asciiTheme="minorEastAsia" w:hAnsiTheme="minorEastAsia" w:eastAsiaTheme="minorEastAsia"/>
                <w:szCs w:val="21"/>
                <w:lang w:val="en-US" w:eastAsia="zh-CN"/>
              </w:rPr>
              <w:t>2</w:t>
            </w:r>
            <w:r>
              <w:rPr>
                <w:rFonts w:hint="eastAsia" w:asciiTheme="minorEastAsia" w:hAnsiTheme="minorEastAsia" w:eastAsiaTheme="minorEastAsia"/>
                <w:szCs w:val="21"/>
              </w:rPr>
              <w:t>.乙方依约定将理财的本金及收益划入甲方资金账户，即视为向甲方完成支付义务。</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w:t>
            </w:r>
            <w:r>
              <w:rPr>
                <w:rFonts w:hint="eastAsia" w:asciiTheme="minorEastAsia" w:hAnsiTheme="minorEastAsia" w:eastAsiaTheme="minorEastAsia"/>
                <w:szCs w:val="21"/>
                <w:lang w:val="en-US" w:eastAsia="zh-CN"/>
              </w:rPr>
              <w:t>3</w:t>
            </w:r>
            <w:r>
              <w:rPr>
                <w:rFonts w:hint="eastAsia" w:asciiTheme="minorEastAsia" w:hAnsiTheme="minorEastAsia" w:eastAsiaTheme="minorEastAsia"/>
                <w:szCs w:val="21"/>
              </w:rPr>
              <w:t>.乙方有义务根据恪守信用、勤勉尽责的原则管理和运用理财产品财产，维护甲方利益。</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w:t>
            </w:r>
            <w:r>
              <w:rPr>
                <w:rFonts w:hint="eastAsia" w:asciiTheme="minorEastAsia" w:hAnsiTheme="minorEastAsia" w:eastAsiaTheme="minorEastAsia"/>
                <w:szCs w:val="21"/>
                <w:lang w:val="en-US" w:eastAsia="zh-CN"/>
              </w:rPr>
              <w:t>4</w:t>
            </w:r>
            <w:r>
              <w:rPr>
                <w:rFonts w:hint="eastAsia" w:asciiTheme="minorEastAsia" w:hAnsiTheme="minorEastAsia" w:eastAsiaTheme="minorEastAsia"/>
                <w:szCs w:val="21"/>
              </w:rPr>
              <w:t>.乙方有义务按照《产品说明书》的约定在相应渠道上披露理财产品相关信息。</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w:t>
            </w:r>
            <w:r>
              <w:rPr>
                <w:rFonts w:hint="eastAsia" w:asciiTheme="minorEastAsia" w:hAnsiTheme="minorEastAsia" w:eastAsiaTheme="minorEastAsia"/>
                <w:szCs w:val="21"/>
                <w:lang w:val="en-US" w:eastAsia="zh-CN"/>
              </w:rPr>
              <w:t>5</w:t>
            </w:r>
            <w:r>
              <w:rPr>
                <w:rFonts w:hint="eastAsia" w:asciiTheme="minorEastAsia" w:hAnsiTheme="minorEastAsia" w:eastAsiaTheme="minorEastAsia"/>
                <w:szCs w:val="21"/>
              </w:rPr>
              <w:t>.除另有约定外，乙方不负责代扣代缴甲方应缴纳的税款。</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1</w:t>
            </w:r>
            <w:r>
              <w:rPr>
                <w:rFonts w:hint="eastAsia" w:asciiTheme="minorEastAsia" w:hAnsiTheme="minorEastAsia" w:eastAsiaTheme="minorEastAsia"/>
                <w:szCs w:val="21"/>
                <w:lang w:val="en-US" w:eastAsia="zh-CN"/>
              </w:rPr>
              <w:t>6</w:t>
            </w:r>
            <w:r>
              <w:rPr>
                <w:rFonts w:hint="eastAsia" w:asciiTheme="minorEastAsia" w:hAnsiTheme="minorEastAsia" w:eastAsiaTheme="minorEastAsia"/>
                <w:szCs w:val="21"/>
              </w:rPr>
              <w:t>.甲、乙双方对本协议及其条款负有保密义务。除法律法规、监管规定另有要求外，未经一方书面认可，另一方不得向任何组织、个人提供或泄露与对方有关的资料和信息</w:t>
            </w:r>
            <w:r>
              <w:rPr>
                <w:rFonts w:asciiTheme="minorEastAsia" w:hAnsiTheme="minorEastAsia" w:eastAsiaTheme="minorEastAsia"/>
                <w:szCs w:val="21"/>
              </w:rPr>
              <w:t xml:space="preserve"> </w:t>
            </w:r>
            <w:r>
              <w:rPr>
                <w:rFonts w:hint="eastAsia" w:asciiTheme="minorEastAsia" w:hAnsiTheme="minorEastAsia" w:eastAsiaTheme="minorEastAsia"/>
                <w:szCs w:val="21"/>
              </w:rPr>
              <w:t>。</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甲方知晓并同意：乙方根据适用的法律法规、监管规定对投资者及持有的理财产品的相关信息进行登记，并传输给银行业理财登记托管中心。</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w:t>
            </w:r>
            <w:r>
              <w:rPr>
                <w:rFonts w:hint="eastAsia" w:asciiTheme="minorEastAsia" w:hAnsiTheme="minorEastAsia" w:eastAsiaTheme="minorEastAsia"/>
                <w:szCs w:val="21"/>
                <w:lang w:val="en-US" w:eastAsia="zh-CN"/>
              </w:rPr>
              <w:t>7</w:t>
            </w:r>
            <w:r>
              <w:rPr>
                <w:rFonts w:hint="eastAsia" w:asciiTheme="minorEastAsia" w:hAnsiTheme="minorEastAsia" w:eastAsiaTheme="minorEastAsia"/>
                <w:szCs w:val="21"/>
              </w:rPr>
              <w:t>.法律法规、监管规定和理财产品合同规定的其他权利和义务。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2"/>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10"/>
                <w:rFonts w:hint="eastAsia" w:cs="宋体" w:asciiTheme="minorEastAsia" w:hAnsiTheme="minorEastAsia" w:eastAsiaTheme="minorEastAsia"/>
                <w:kern w:val="0"/>
                <w:szCs w:val="21"/>
              </w:rPr>
              <w:t>五、违约责任与争议处理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2"/>
            <w:tcBorders>
              <w:bottom w:val="single" w:color="000000" w:sz="4" w:space="0"/>
            </w:tcBorders>
          </w:tcPr>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1.一方不能履行或不能完全履行理财产品合同的，应承担违约责任。</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因法律法规、监管规定、监管部门政策变化、自然灾害、意外事故、战争、系统故障、通讯故障等乙方不能控制或不可归责于乙方的因素，导致乙方无法履行本协议及其他理财产品合同的，乙方不承担责任，但乙方应在条件允许的情况下采取必要的补救措施，以减少损失。</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3.本协议及理财产品合同均适用中华人民共和国法律。本协议项下的任何争议，双方应通过友好协商解决；若协商不成，依法向乙方所在地人民法院提起诉讼。在争议解决期间，若该争议不影响本协议及理财产品合同其他条款的履行，则该其他条款应继续履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2"/>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10"/>
                <w:rFonts w:hint="eastAsia" w:cs="宋体" w:asciiTheme="minorEastAsia" w:hAnsiTheme="minorEastAsia" w:eastAsiaTheme="minorEastAsia"/>
                <w:kern w:val="0"/>
                <w:szCs w:val="21"/>
              </w:rPr>
              <w:t>六、协议的签署和生效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2"/>
            <w:tcBorders>
              <w:bottom w:val="single" w:color="000000" w:sz="4" w:space="0"/>
            </w:tcBorders>
          </w:tcPr>
          <w:p>
            <w:pPr>
              <w:widowControl/>
              <w:numPr>
                <w:ilvl w:val="0"/>
                <w:numId w:val="0"/>
              </w:numPr>
              <w:tabs>
                <w:tab w:val="left" w:pos="0"/>
              </w:tabs>
              <w:adjustRightInd w:val="0"/>
              <w:snapToGrid w:val="0"/>
              <w:spacing w:line="360" w:lineRule="auto"/>
              <w:ind w:firstLine="420" w:firstLineChars="200"/>
              <w:jc w:val="left"/>
              <w:rPr>
                <w:rFonts w:hint="eastAsia" w:asciiTheme="minorEastAsia" w:hAnsiTheme="minorEastAsia" w:eastAsiaTheme="minorEastAsia"/>
                <w:szCs w:val="21"/>
              </w:rPr>
            </w:pPr>
            <w:r>
              <w:rPr>
                <w:rFonts w:hint="eastAsia" w:asciiTheme="minorEastAsia" w:hAnsiTheme="minorEastAsia" w:eastAsiaTheme="minorEastAsia"/>
                <w:szCs w:val="21"/>
                <w:lang w:val="en-US" w:eastAsia="zh-CN"/>
              </w:rPr>
              <w:t>1.</w:t>
            </w:r>
            <w:r>
              <w:rPr>
                <w:rFonts w:hint="eastAsia" w:asciiTheme="minorEastAsia" w:hAnsiTheme="minorEastAsia" w:eastAsiaTheme="minorEastAsia"/>
                <w:szCs w:val="21"/>
              </w:rPr>
              <w:t>甲方为个人投资者的，本协议经甲方签字，乙方盖章后生效；</w:t>
            </w:r>
          </w:p>
          <w:p>
            <w:pPr>
              <w:widowControl/>
              <w:numPr>
                <w:ilvl w:val="0"/>
                <w:numId w:val="0"/>
              </w:numPr>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lang w:val="en-US" w:eastAsia="zh-CN"/>
              </w:rPr>
              <w:t>2</w:t>
            </w:r>
            <w:r>
              <w:rPr>
                <w:rFonts w:hint="eastAsia" w:asciiTheme="minorEastAsia" w:hAnsiTheme="minorEastAsia" w:eastAsiaTheme="minorEastAsia"/>
                <w:szCs w:val="21"/>
              </w:rPr>
              <w:t>.除《产品说明书》约定的提前终止情形外，甲方有违约行为或甲方资金账户被有权机关冻结、扣划时，乙方有权提前终止本合同，且乙方不承担任何责任。</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lang w:val="en-US" w:eastAsia="zh-CN"/>
              </w:rPr>
              <w:t>3</w:t>
            </w:r>
            <w:r>
              <w:rPr>
                <w:rFonts w:hint="eastAsia" w:asciiTheme="minorEastAsia" w:hAnsiTheme="minorEastAsia" w:eastAsiaTheme="minorEastAsia"/>
                <w:szCs w:val="21"/>
              </w:rPr>
              <w:t>.本协议一式两份，具有同等法律效力，甲乙双方各执一份。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2"/>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10"/>
                <w:rFonts w:hint="eastAsia" w:cs="宋体" w:asciiTheme="minorEastAsia" w:hAnsiTheme="minorEastAsia" w:eastAsiaTheme="minorEastAsia"/>
                <w:kern w:val="0"/>
                <w:szCs w:val="21"/>
              </w:rPr>
              <w:t>协议签署</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94" w:hRule="atLeast"/>
        </w:trPr>
        <w:tc>
          <w:tcPr>
            <w:tcW w:w="9962" w:type="dxa"/>
            <w:gridSpan w:val="12"/>
          </w:tcPr>
          <w:p>
            <w:pPr>
              <w:widowControl/>
              <w:tabs>
                <w:tab w:val="left" w:pos="0"/>
              </w:tabs>
              <w:adjustRightInd w:val="0"/>
              <w:snapToGrid w:val="0"/>
              <w:spacing w:line="360" w:lineRule="auto"/>
              <w:jc w:val="left"/>
              <w:rPr>
                <w:rFonts w:asciiTheme="minorEastAsia" w:hAnsiTheme="minorEastAsia" w:eastAsiaTheme="minorEastAsia"/>
                <w:b/>
                <w:szCs w:val="21"/>
              </w:rPr>
            </w:pPr>
            <w:r>
              <w:rPr>
                <w:rFonts w:hint="eastAsia" w:asciiTheme="minorEastAsia" w:hAnsiTheme="minorEastAsia" w:eastAsiaTheme="minorEastAsia"/>
                <w:b/>
                <w:szCs w:val="21"/>
              </w:rPr>
              <w:t>甲方声明：</w:t>
            </w:r>
          </w:p>
          <w:p>
            <w:pPr>
              <w:widowControl/>
              <w:tabs>
                <w:tab w:val="left" w:pos="0"/>
              </w:tabs>
              <w:adjustRightInd w:val="0"/>
              <w:snapToGrid w:val="0"/>
              <w:spacing w:line="360" w:lineRule="auto"/>
              <w:jc w:val="left"/>
              <w:rPr>
                <w:rFonts w:asciiTheme="minorEastAsia" w:hAnsiTheme="minorEastAsia" w:eastAsiaTheme="minorEastAsia"/>
                <w:b/>
                <w:szCs w:val="21"/>
              </w:rPr>
            </w:pPr>
            <w:r>
              <w:rPr>
                <w:rFonts w:hint="eastAsia" w:asciiTheme="minorEastAsia" w:hAnsiTheme="minorEastAsia" w:eastAsiaTheme="minorEastAsia"/>
                <w:b/>
                <w:szCs w:val="21"/>
              </w:rPr>
              <w:t xml:space="preserve">    （一）甲方已经收到所购买理财产品相关的《风险揭示书》、《产品说明书》和《客户权益须知》，并已完全理解和接受上述文件及本协议的全部内容，清楚了解所购买理财产品的内容及风险。甲方的投资决策完全出于自身独立自主判断做出，并愿意承担所购买</w:t>
            </w:r>
            <w:r>
              <w:rPr>
                <w:rFonts w:hint="eastAsia" w:asciiTheme="minorEastAsia" w:hAnsiTheme="minorEastAsia" w:eastAsiaTheme="minorEastAsia"/>
                <w:b/>
                <w:szCs w:val="21"/>
                <w:lang w:eastAsia="zh-CN"/>
              </w:rPr>
              <w:t>、</w:t>
            </w:r>
            <w:r>
              <w:rPr>
                <w:rFonts w:hint="eastAsia" w:asciiTheme="minorEastAsia" w:hAnsiTheme="minorEastAsia" w:eastAsiaTheme="minorEastAsia"/>
                <w:b/>
                <w:szCs w:val="21"/>
              </w:rPr>
              <w:t>撤单理财产品所产生的相关风险和全部后果。</w:t>
            </w: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r>
              <w:rPr>
                <w:rFonts w:hint="eastAsia" w:asciiTheme="minorEastAsia" w:hAnsiTheme="minorEastAsia" w:eastAsiaTheme="minorEastAsia"/>
                <w:b/>
                <w:szCs w:val="21"/>
              </w:rPr>
              <w:t>（二）甲方确认乙方</w:t>
            </w:r>
            <w:r>
              <w:rPr>
                <w:rFonts w:hint="eastAsia" w:asciiTheme="minorEastAsia" w:hAnsiTheme="minorEastAsia" w:eastAsiaTheme="minorEastAsia"/>
                <w:b/>
                <w:szCs w:val="21"/>
                <w:lang w:eastAsia="zh-CN"/>
              </w:rPr>
              <w:t>相关业务人员</w:t>
            </w:r>
            <w:r>
              <w:rPr>
                <w:rFonts w:hint="eastAsia" w:asciiTheme="minorEastAsia" w:hAnsiTheme="minorEastAsia" w:eastAsiaTheme="minorEastAsia"/>
                <w:b/>
                <w:szCs w:val="21"/>
              </w:rPr>
              <w:t>对本协议中有关甲乙双方的权利义务，及甲乙双方单方面拥有的某些权利和限制性义务予以解释说明，甲方愿意接受上述条款约束，双方对本协议条款的理解已完全达成一致。</w:t>
            </w: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u w:val="single"/>
              </w:rPr>
            </w:pPr>
            <w:r>
              <w:rPr>
                <w:rFonts w:hint="eastAsia" w:asciiTheme="minorEastAsia" w:hAnsiTheme="minorEastAsia" w:eastAsiaTheme="minorEastAsia"/>
                <w:b/>
                <w:szCs w:val="21"/>
              </w:rPr>
              <w:t>甲方</w:t>
            </w:r>
            <w:r>
              <w:rPr>
                <w:rFonts w:hint="eastAsia" w:asciiTheme="minorEastAsia" w:hAnsiTheme="minorEastAsia" w:eastAsiaTheme="minorEastAsia"/>
                <w:b/>
                <w:szCs w:val="21"/>
                <w:lang w:eastAsia="zh-CN"/>
              </w:rPr>
              <w:t>（签字）</w:t>
            </w:r>
            <w:r>
              <w:rPr>
                <w:rFonts w:hint="eastAsia" w:asciiTheme="minorEastAsia" w:hAnsiTheme="minorEastAsia" w:eastAsiaTheme="minorEastAsia"/>
                <w:b/>
                <w:szCs w:val="21"/>
              </w:rPr>
              <w:t>：                                  乙方：新疆银行股份有限公司</w:t>
            </w:r>
            <w:r>
              <w:rPr>
                <w:rFonts w:hint="eastAsia" w:asciiTheme="minorEastAsia" w:hAnsiTheme="minorEastAsia" w:eastAsiaTheme="minorEastAsia"/>
                <w:b/>
                <w:szCs w:val="21"/>
                <w:u w:val="single"/>
              </w:rPr>
              <w:t xml:space="preserve">            </w:t>
            </w: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r>
              <w:rPr>
                <w:rFonts w:hint="eastAsia" w:asciiTheme="minorEastAsia" w:hAnsiTheme="minorEastAsia" w:eastAsiaTheme="minorEastAsia"/>
                <w:b/>
                <w:szCs w:val="21"/>
              </w:rPr>
              <w:t xml:space="preserve">                   </w:t>
            </w:r>
            <w:r>
              <w:rPr>
                <w:rFonts w:hint="eastAsia" w:asciiTheme="minorEastAsia" w:hAnsiTheme="minorEastAsia" w:eastAsiaTheme="minorEastAsia"/>
                <w:b/>
                <w:szCs w:val="21"/>
                <w:lang w:val="en-US" w:eastAsia="zh-CN"/>
              </w:rPr>
              <w:t xml:space="preserve">                       </w:t>
            </w:r>
            <w:r>
              <w:rPr>
                <w:rFonts w:hint="eastAsia" w:asciiTheme="minorEastAsia" w:hAnsiTheme="minorEastAsia" w:eastAsiaTheme="minorEastAsia"/>
                <w:b/>
                <w:szCs w:val="21"/>
              </w:rPr>
              <w:t xml:space="preserve">     理财经理：</w:t>
            </w: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r>
              <w:rPr>
                <w:rFonts w:hint="eastAsia" w:asciiTheme="minorEastAsia" w:hAnsiTheme="minorEastAsia" w:eastAsiaTheme="minorEastAsia"/>
                <w:b/>
                <w:szCs w:val="21"/>
              </w:rPr>
              <w:t>日期：                                         理财经理证书编号：</w:t>
            </w:r>
          </w:p>
          <w:p>
            <w:pPr>
              <w:widowControl/>
              <w:tabs>
                <w:tab w:val="left" w:pos="0"/>
              </w:tabs>
              <w:adjustRightInd w:val="0"/>
              <w:snapToGrid w:val="0"/>
              <w:spacing w:line="360" w:lineRule="auto"/>
              <w:ind w:firstLine="5384" w:firstLineChars="2554"/>
              <w:jc w:val="left"/>
              <w:rPr>
                <w:rFonts w:asciiTheme="minorEastAsia" w:hAnsiTheme="minorEastAsia" w:eastAsiaTheme="minorEastAsia"/>
                <w:b/>
                <w:szCs w:val="21"/>
              </w:rPr>
            </w:pPr>
          </w:p>
          <w:p>
            <w:pPr>
              <w:widowControl/>
              <w:tabs>
                <w:tab w:val="left" w:pos="0"/>
              </w:tabs>
              <w:adjustRightInd w:val="0"/>
              <w:snapToGrid w:val="0"/>
              <w:spacing w:line="360" w:lineRule="auto"/>
              <w:ind w:firstLine="5285" w:firstLineChars="2507"/>
              <w:jc w:val="left"/>
              <w:rPr>
                <w:rFonts w:asciiTheme="minorEastAsia" w:hAnsiTheme="minorEastAsia" w:eastAsiaTheme="minorEastAsia"/>
                <w:b/>
                <w:szCs w:val="21"/>
              </w:rPr>
            </w:pPr>
            <w:r>
              <w:rPr>
                <w:rFonts w:hint="eastAsia" w:asciiTheme="minorEastAsia" w:hAnsiTheme="minorEastAsia" w:eastAsiaTheme="minorEastAsia"/>
                <w:b/>
                <w:szCs w:val="21"/>
              </w:rPr>
              <w:t xml:space="preserve"> 日期： </w:t>
            </w:r>
          </w:p>
          <w:p>
            <w:pPr>
              <w:widowControl/>
              <w:tabs>
                <w:tab w:val="left" w:pos="0"/>
              </w:tabs>
              <w:adjustRightInd w:val="0"/>
              <w:snapToGrid w:val="0"/>
              <w:spacing w:line="360" w:lineRule="auto"/>
              <w:jc w:val="left"/>
              <w:rPr>
                <w:rFonts w:asciiTheme="minorEastAsia" w:hAnsiTheme="minorEastAsia" w:eastAsiaTheme="minorEastAsia"/>
                <w:b/>
                <w:szCs w:val="21"/>
              </w:rPr>
            </w:pPr>
          </w:p>
        </w:tc>
      </w:tr>
    </w:tbl>
    <w:p>
      <w:pPr>
        <w:spacing w:line="360" w:lineRule="auto"/>
        <w:rPr>
          <w:rFonts w:cs="宋体" w:asciiTheme="minorEastAsia" w:hAnsiTheme="minorEastAsia" w:eastAsiaTheme="minorEastAsia"/>
          <w:bCs/>
          <w:kern w:val="0"/>
          <w:szCs w:val="21"/>
        </w:rPr>
      </w:pPr>
    </w:p>
    <w:sectPr>
      <w:head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jc w:val="left"/>
    </w:pPr>
    <w:r>
      <w:drawing>
        <wp:anchor distT="0" distB="0" distL="114300" distR="114300" simplePos="0" relativeHeight="251658240" behindDoc="0" locked="0" layoutInCell="1" allowOverlap="1">
          <wp:simplePos x="0" y="0"/>
          <wp:positionH relativeFrom="column">
            <wp:posOffset>19050</wp:posOffset>
          </wp:positionH>
          <wp:positionV relativeFrom="paragraph">
            <wp:posOffset>2540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p>
    <w:pPr>
      <w:pStyle w:val="5"/>
      <w:pBdr>
        <w:bottom w:val="none" w:color="auto" w:sz="0" w:space="0"/>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12E4"/>
    <w:rsid w:val="00001B27"/>
    <w:rsid w:val="00005909"/>
    <w:rsid w:val="0000676D"/>
    <w:rsid w:val="00027AA5"/>
    <w:rsid w:val="000331E4"/>
    <w:rsid w:val="00045869"/>
    <w:rsid w:val="000533F1"/>
    <w:rsid w:val="000576A0"/>
    <w:rsid w:val="00061366"/>
    <w:rsid w:val="000660F0"/>
    <w:rsid w:val="00067119"/>
    <w:rsid w:val="0006774E"/>
    <w:rsid w:val="000814B2"/>
    <w:rsid w:val="00094495"/>
    <w:rsid w:val="000C6731"/>
    <w:rsid w:val="000D0F1B"/>
    <w:rsid w:val="000F2C67"/>
    <w:rsid w:val="000F409C"/>
    <w:rsid w:val="001247FC"/>
    <w:rsid w:val="001348EF"/>
    <w:rsid w:val="0019089E"/>
    <w:rsid w:val="00197EC6"/>
    <w:rsid w:val="001B2259"/>
    <w:rsid w:val="001D0707"/>
    <w:rsid w:val="001F5AEA"/>
    <w:rsid w:val="00224CC2"/>
    <w:rsid w:val="00232FA8"/>
    <w:rsid w:val="002379BB"/>
    <w:rsid w:val="00242881"/>
    <w:rsid w:val="002641E5"/>
    <w:rsid w:val="00271EA0"/>
    <w:rsid w:val="00284E3E"/>
    <w:rsid w:val="002D27C5"/>
    <w:rsid w:val="002F560B"/>
    <w:rsid w:val="002F6EC4"/>
    <w:rsid w:val="00300253"/>
    <w:rsid w:val="0031502F"/>
    <w:rsid w:val="003317D7"/>
    <w:rsid w:val="0034756F"/>
    <w:rsid w:val="00362212"/>
    <w:rsid w:val="00364CEB"/>
    <w:rsid w:val="00381D34"/>
    <w:rsid w:val="003919EE"/>
    <w:rsid w:val="00394A1C"/>
    <w:rsid w:val="003A1F39"/>
    <w:rsid w:val="003B7D68"/>
    <w:rsid w:val="003D328B"/>
    <w:rsid w:val="003E05C9"/>
    <w:rsid w:val="003F1B6C"/>
    <w:rsid w:val="00440BFD"/>
    <w:rsid w:val="00443CBF"/>
    <w:rsid w:val="004478A4"/>
    <w:rsid w:val="00452D33"/>
    <w:rsid w:val="0046288B"/>
    <w:rsid w:val="00474952"/>
    <w:rsid w:val="004776B0"/>
    <w:rsid w:val="00481581"/>
    <w:rsid w:val="004844A0"/>
    <w:rsid w:val="00484957"/>
    <w:rsid w:val="004B01E1"/>
    <w:rsid w:val="004B0863"/>
    <w:rsid w:val="004B718F"/>
    <w:rsid w:val="004C03E1"/>
    <w:rsid w:val="004F0EAF"/>
    <w:rsid w:val="004F24CD"/>
    <w:rsid w:val="004F3DB3"/>
    <w:rsid w:val="00500D9F"/>
    <w:rsid w:val="0050610C"/>
    <w:rsid w:val="0052201F"/>
    <w:rsid w:val="0052339C"/>
    <w:rsid w:val="005301C2"/>
    <w:rsid w:val="00531FEA"/>
    <w:rsid w:val="00546A6F"/>
    <w:rsid w:val="00553F11"/>
    <w:rsid w:val="005540D6"/>
    <w:rsid w:val="00554C33"/>
    <w:rsid w:val="005612E4"/>
    <w:rsid w:val="005652FB"/>
    <w:rsid w:val="005765BB"/>
    <w:rsid w:val="0058335C"/>
    <w:rsid w:val="005A1872"/>
    <w:rsid w:val="005A267B"/>
    <w:rsid w:val="005A26A0"/>
    <w:rsid w:val="005B0516"/>
    <w:rsid w:val="005C3195"/>
    <w:rsid w:val="005C75A9"/>
    <w:rsid w:val="005D1F93"/>
    <w:rsid w:val="00602E2A"/>
    <w:rsid w:val="00606E3D"/>
    <w:rsid w:val="00614168"/>
    <w:rsid w:val="00661C29"/>
    <w:rsid w:val="006628C7"/>
    <w:rsid w:val="0067292A"/>
    <w:rsid w:val="00680240"/>
    <w:rsid w:val="00681907"/>
    <w:rsid w:val="00684F5E"/>
    <w:rsid w:val="006853EF"/>
    <w:rsid w:val="006C1CD7"/>
    <w:rsid w:val="006C3F17"/>
    <w:rsid w:val="006C7243"/>
    <w:rsid w:val="006D3F93"/>
    <w:rsid w:val="006D5E9F"/>
    <w:rsid w:val="006D7F7C"/>
    <w:rsid w:val="006E5587"/>
    <w:rsid w:val="006F20FD"/>
    <w:rsid w:val="00727B13"/>
    <w:rsid w:val="007352AE"/>
    <w:rsid w:val="00753B8A"/>
    <w:rsid w:val="0076609B"/>
    <w:rsid w:val="007725D5"/>
    <w:rsid w:val="007B2350"/>
    <w:rsid w:val="007D0068"/>
    <w:rsid w:val="007E0EFF"/>
    <w:rsid w:val="007F3785"/>
    <w:rsid w:val="00810934"/>
    <w:rsid w:val="008359CF"/>
    <w:rsid w:val="00862CB7"/>
    <w:rsid w:val="00867592"/>
    <w:rsid w:val="008843E9"/>
    <w:rsid w:val="00884D6F"/>
    <w:rsid w:val="00895EF0"/>
    <w:rsid w:val="008963D9"/>
    <w:rsid w:val="008A4123"/>
    <w:rsid w:val="008B3926"/>
    <w:rsid w:val="008D6DD4"/>
    <w:rsid w:val="008E2FA7"/>
    <w:rsid w:val="00902EBC"/>
    <w:rsid w:val="00903A4B"/>
    <w:rsid w:val="009369EF"/>
    <w:rsid w:val="00951248"/>
    <w:rsid w:val="00960D08"/>
    <w:rsid w:val="009658A6"/>
    <w:rsid w:val="00971C0E"/>
    <w:rsid w:val="00972A44"/>
    <w:rsid w:val="0098131E"/>
    <w:rsid w:val="00986490"/>
    <w:rsid w:val="009F6D3A"/>
    <w:rsid w:val="00A110E1"/>
    <w:rsid w:val="00A1321E"/>
    <w:rsid w:val="00A33A8F"/>
    <w:rsid w:val="00A42734"/>
    <w:rsid w:val="00A672DE"/>
    <w:rsid w:val="00A70E53"/>
    <w:rsid w:val="00A84D9C"/>
    <w:rsid w:val="00A850AA"/>
    <w:rsid w:val="00A9439E"/>
    <w:rsid w:val="00AA1452"/>
    <w:rsid w:val="00AC31A1"/>
    <w:rsid w:val="00AC78D2"/>
    <w:rsid w:val="00AD0E04"/>
    <w:rsid w:val="00AD2725"/>
    <w:rsid w:val="00AD2F37"/>
    <w:rsid w:val="00AF2D41"/>
    <w:rsid w:val="00B144DC"/>
    <w:rsid w:val="00B17271"/>
    <w:rsid w:val="00B3361E"/>
    <w:rsid w:val="00B37615"/>
    <w:rsid w:val="00B50714"/>
    <w:rsid w:val="00B76360"/>
    <w:rsid w:val="00B8066A"/>
    <w:rsid w:val="00B824AF"/>
    <w:rsid w:val="00B92B03"/>
    <w:rsid w:val="00BB43C0"/>
    <w:rsid w:val="00BC1190"/>
    <w:rsid w:val="00BC654A"/>
    <w:rsid w:val="00BD6333"/>
    <w:rsid w:val="00BE621A"/>
    <w:rsid w:val="00BF1AB3"/>
    <w:rsid w:val="00C4477C"/>
    <w:rsid w:val="00C44CBB"/>
    <w:rsid w:val="00C90ACB"/>
    <w:rsid w:val="00C91EFD"/>
    <w:rsid w:val="00CA70FD"/>
    <w:rsid w:val="00CB0920"/>
    <w:rsid w:val="00CB12E9"/>
    <w:rsid w:val="00CC5394"/>
    <w:rsid w:val="00CD427F"/>
    <w:rsid w:val="00CE0C92"/>
    <w:rsid w:val="00CF5A43"/>
    <w:rsid w:val="00D04CAA"/>
    <w:rsid w:val="00D07E27"/>
    <w:rsid w:val="00D22461"/>
    <w:rsid w:val="00D32544"/>
    <w:rsid w:val="00D424E1"/>
    <w:rsid w:val="00D51B63"/>
    <w:rsid w:val="00D56772"/>
    <w:rsid w:val="00D62F65"/>
    <w:rsid w:val="00D85F58"/>
    <w:rsid w:val="00DB16A0"/>
    <w:rsid w:val="00DB7D7F"/>
    <w:rsid w:val="00DD4885"/>
    <w:rsid w:val="00DD696B"/>
    <w:rsid w:val="00DE4D49"/>
    <w:rsid w:val="00E01986"/>
    <w:rsid w:val="00E05D4A"/>
    <w:rsid w:val="00E21713"/>
    <w:rsid w:val="00E23920"/>
    <w:rsid w:val="00E249E9"/>
    <w:rsid w:val="00E37C93"/>
    <w:rsid w:val="00E441E4"/>
    <w:rsid w:val="00E54C43"/>
    <w:rsid w:val="00E66035"/>
    <w:rsid w:val="00E66323"/>
    <w:rsid w:val="00E720BB"/>
    <w:rsid w:val="00E7397E"/>
    <w:rsid w:val="00E749AB"/>
    <w:rsid w:val="00E806F8"/>
    <w:rsid w:val="00E909C8"/>
    <w:rsid w:val="00E9670D"/>
    <w:rsid w:val="00EA5984"/>
    <w:rsid w:val="00EB0341"/>
    <w:rsid w:val="00EC071C"/>
    <w:rsid w:val="00ED4D56"/>
    <w:rsid w:val="00ED6364"/>
    <w:rsid w:val="00EE3467"/>
    <w:rsid w:val="00EE4E2A"/>
    <w:rsid w:val="00EF6CC5"/>
    <w:rsid w:val="00F03CBD"/>
    <w:rsid w:val="00F24E53"/>
    <w:rsid w:val="00F24F20"/>
    <w:rsid w:val="00F62800"/>
    <w:rsid w:val="00F66F38"/>
    <w:rsid w:val="00F96A97"/>
    <w:rsid w:val="00FA6167"/>
    <w:rsid w:val="00FB38CD"/>
    <w:rsid w:val="00FC7471"/>
    <w:rsid w:val="00FD18D6"/>
    <w:rsid w:val="00FE6804"/>
    <w:rsid w:val="00FE74FB"/>
    <w:rsid w:val="00FF7571"/>
    <w:rsid w:val="0403226E"/>
    <w:rsid w:val="042E3EE9"/>
    <w:rsid w:val="065760B4"/>
    <w:rsid w:val="08E03E0C"/>
    <w:rsid w:val="096A57E3"/>
    <w:rsid w:val="0C442819"/>
    <w:rsid w:val="10ED3CDF"/>
    <w:rsid w:val="132D69A4"/>
    <w:rsid w:val="15487FC7"/>
    <w:rsid w:val="15A8603A"/>
    <w:rsid w:val="16AC25D4"/>
    <w:rsid w:val="185D4FE4"/>
    <w:rsid w:val="1E36380A"/>
    <w:rsid w:val="1FFF5A8B"/>
    <w:rsid w:val="207F7B06"/>
    <w:rsid w:val="225311D5"/>
    <w:rsid w:val="24A776A1"/>
    <w:rsid w:val="290A779C"/>
    <w:rsid w:val="2D080885"/>
    <w:rsid w:val="30A90FF0"/>
    <w:rsid w:val="337E02F7"/>
    <w:rsid w:val="33EC459B"/>
    <w:rsid w:val="35D25FB9"/>
    <w:rsid w:val="3CDF2599"/>
    <w:rsid w:val="3D7C42D1"/>
    <w:rsid w:val="445D75A4"/>
    <w:rsid w:val="46763F2C"/>
    <w:rsid w:val="47E13998"/>
    <w:rsid w:val="49166DE6"/>
    <w:rsid w:val="4B5A587B"/>
    <w:rsid w:val="4FFD4F28"/>
    <w:rsid w:val="5194737D"/>
    <w:rsid w:val="550739D6"/>
    <w:rsid w:val="56BA0391"/>
    <w:rsid w:val="57605062"/>
    <w:rsid w:val="57943C70"/>
    <w:rsid w:val="58FA201D"/>
    <w:rsid w:val="5B420DA7"/>
    <w:rsid w:val="5CC618D4"/>
    <w:rsid w:val="5D172BAA"/>
    <w:rsid w:val="5DA051FC"/>
    <w:rsid w:val="5DBE5D86"/>
    <w:rsid w:val="6134470E"/>
    <w:rsid w:val="638B23A0"/>
    <w:rsid w:val="65FD17A4"/>
    <w:rsid w:val="6992255B"/>
    <w:rsid w:val="6A3B76ED"/>
    <w:rsid w:val="6C494FFC"/>
    <w:rsid w:val="6FA678A5"/>
    <w:rsid w:val="768D08CE"/>
    <w:rsid w:val="78A073D7"/>
    <w:rsid w:val="7AD44DA9"/>
    <w:rsid w:val="7C355186"/>
    <w:rsid w:val="7C812B2E"/>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9">
    <w:name w:val="Default Paragraph Font"/>
    <w:unhideWhenUsed/>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2">
    <w:name w:val="annotation text"/>
    <w:basedOn w:val="1"/>
    <w:semiHidden/>
    <w:unhideWhenUsed/>
    <w:qFormat/>
    <w:uiPriority w:val="99"/>
    <w:pPr>
      <w:jc w:val="left"/>
    </w:pPr>
  </w:style>
  <w:style w:type="paragraph" w:styleId="3">
    <w:name w:val="Balloon Text"/>
    <w:basedOn w:val="1"/>
    <w:link w:val="13"/>
    <w:unhideWhenUsed/>
    <w:qFormat/>
    <w:uiPriority w:val="99"/>
    <w:rPr>
      <w:sz w:val="18"/>
      <w:szCs w:val="18"/>
    </w:rPr>
  </w:style>
  <w:style w:type="paragraph" w:styleId="4">
    <w:name w:val="footer"/>
    <w:basedOn w:val="1"/>
    <w:link w:val="12"/>
    <w:qFormat/>
    <w:uiPriority w:val="99"/>
    <w:pPr>
      <w:tabs>
        <w:tab w:val="center" w:pos="4153"/>
        <w:tab w:val="right" w:pos="8306"/>
      </w:tabs>
      <w:snapToGrid w:val="0"/>
      <w:jc w:val="left"/>
    </w:pPr>
    <w:rPr>
      <w:sz w:val="18"/>
      <w:szCs w:val="18"/>
    </w:rPr>
  </w:style>
  <w:style w:type="paragraph" w:styleId="5">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99"/>
    <w:pPr>
      <w:spacing w:beforeAutospacing="1" w:afterAutospacing="1"/>
      <w:jc w:val="left"/>
    </w:pPr>
    <w:rPr>
      <w:rFonts w:ascii="Calibri" w:hAnsi="Calibri"/>
      <w:kern w:val="0"/>
      <w:sz w:val="24"/>
      <w:szCs w:val="24"/>
    </w:rPr>
  </w:style>
  <w:style w:type="table" w:styleId="8">
    <w:name w:val="Table Grid"/>
    <w:basedOn w:val="7"/>
    <w:qFormat/>
    <w:locke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0">
    <w:name w:val="Strong"/>
    <w:basedOn w:val="9"/>
    <w:qFormat/>
    <w:uiPriority w:val="99"/>
    <w:rPr>
      <w:rFonts w:cs="Times New Roman"/>
      <w:b/>
      <w:bCs/>
    </w:rPr>
  </w:style>
  <w:style w:type="character" w:customStyle="1" w:styleId="11">
    <w:name w:val="页眉 Char"/>
    <w:basedOn w:val="9"/>
    <w:link w:val="5"/>
    <w:qFormat/>
    <w:locked/>
    <w:uiPriority w:val="99"/>
    <w:rPr>
      <w:rFonts w:ascii="Times New Roman" w:hAnsi="Times New Roman" w:cs="Times New Roman"/>
      <w:sz w:val="18"/>
      <w:szCs w:val="18"/>
    </w:rPr>
  </w:style>
  <w:style w:type="character" w:customStyle="1" w:styleId="12">
    <w:name w:val="页脚 Char"/>
    <w:basedOn w:val="9"/>
    <w:link w:val="4"/>
    <w:semiHidden/>
    <w:qFormat/>
    <w:locked/>
    <w:uiPriority w:val="99"/>
    <w:rPr>
      <w:rFonts w:ascii="Times New Roman" w:hAnsi="Times New Roman" w:cs="Times New Roman"/>
      <w:sz w:val="18"/>
      <w:szCs w:val="18"/>
    </w:rPr>
  </w:style>
  <w:style w:type="character" w:customStyle="1" w:styleId="13">
    <w:name w:val="批注框文本 Char"/>
    <w:basedOn w:val="9"/>
    <w:link w:val="3"/>
    <w:semiHidden/>
    <w:qFormat/>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D1467B3-CD20-4721-BD02-FE66361C259D}">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Pages>
  <Words>643</Words>
  <Characters>3666</Characters>
  <Lines>30</Lines>
  <Paragraphs>8</Paragraphs>
  <TotalTime>25</TotalTime>
  <ScaleCrop>false</ScaleCrop>
  <LinksUpToDate>false</LinksUpToDate>
  <CharactersWithSpaces>4301</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2017-11-17T10:47:00Z</dcterms:created>
  <dc:creator>曹文芳</dc:creator>
  <cp:lastModifiedBy>曹旭红</cp:lastModifiedBy>
  <cp:lastPrinted>2019-05-06T05:26:00Z</cp:lastPrinted>
  <dcterms:modified xsi:type="dcterms:W3CDTF">2020-11-11T04:36:20Z</dcterms:modified>
  <cp:revision>161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