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9"/>
          <w:rFonts w:hint="eastAsia" w:ascii="黑体" w:hAnsi="黑体" w:eastAsia="黑体" w:cs="宋体"/>
          <w:b w:val="0"/>
          <w:kern w:val="0"/>
          <w:sz w:val="28"/>
          <w:szCs w:val="28"/>
        </w:rPr>
      </w:pPr>
      <w:r>
        <w:rPr>
          <w:rStyle w:val="9"/>
          <w:rFonts w:hint="eastAsia" w:ascii="黑体" w:hAnsi="黑体" w:eastAsia="黑体" w:cs="宋体"/>
          <w:b w:val="0"/>
          <w:kern w:val="0"/>
          <w:sz w:val="28"/>
          <w:szCs w:val="28"/>
        </w:rPr>
        <w:t>新疆银行“金胡杨”封闭净值型人民币理财产品说明书</w:t>
      </w:r>
    </w:p>
    <w:p>
      <w:pPr>
        <w:spacing w:line="400" w:lineRule="exact"/>
        <w:jc w:val="center"/>
        <w:rPr>
          <w:rStyle w:val="9"/>
          <w:rFonts w:hint="eastAsia" w:ascii="黑体" w:hAnsi="黑体" w:eastAsia="黑体" w:cs="宋体"/>
          <w:b w:val="0"/>
          <w:kern w:val="0"/>
          <w:sz w:val="28"/>
          <w:szCs w:val="28"/>
        </w:rPr>
      </w:pPr>
      <w:r>
        <w:rPr>
          <w:rStyle w:val="9"/>
          <w:rFonts w:hint="eastAsia" w:ascii="宋体" w:hAnsi="宋体" w:cs="宋体"/>
          <w:kern w:val="0"/>
          <w:sz w:val="18"/>
          <w:szCs w:val="18"/>
        </w:rPr>
        <w:t>理财产品过往业绩不代表其未来表现，不等于理财产品实际收益</w:t>
      </w:r>
      <w:r>
        <w:rPr>
          <w:rStyle w:val="9"/>
          <w:rFonts w:cs="宋体"/>
          <w:bCs w:val="0"/>
          <w:sz w:val="18"/>
          <w:szCs w:val="18"/>
        </w:rPr>
        <w:t xml:space="preserve"> </w:t>
      </w:r>
    </w:p>
    <w:p>
      <w:pPr>
        <w:spacing w:line="400" w:lineRule="exact"/>
        <w:jc w:val="center"/>
        <w:rPr>
          <w:rStyle w:val="9"/>
          <w:rFonts w:ascii="宋体" w:hAnsi="宋体" w:cs="宋体"/>
          <w:kern w:val="0"/>
          <w:sz w:val="18"/>
          <w:szCs w:val="18"/>
        </w:rPr>
      </w:pPr>
      <w:r>
        <w:rPr>
          <w:rStyle w:val="9"/>
          <w:rFonts w:hint="eastAsia" w:ascii="宋体" w:hAnsi="宋体" w:cs="宋体"/>
          <w:kern w:val="0"/>
          <w:sz w:val="18"/>
          <w:szCs w:val="18"/>
        </w:rPr>
        <w:t>理财非存款、产品有风险、投资须谨慎</w:t>
      </w:r>
    </w:p>
    <w:p>
      <w:pPr>
        <w:spacing w:line="400" w:lineRule="exact"/>
        <w:rPr>
          <w:rStyle w:val="9"/>
          <w:rFonts w:ascii="华文仿宋" w:hAnsi="华文仿宋" w:eastAsia="华文仿宋" w:cs="华文仿宋"/>
          <w:kern w:val="0"/>
          <w:sz w:val="24"/>
          <w:szCs w:val="24"/>
        </w:rPr>
      </w:pPr>
      <w:r>
        <w:rPr>
          <w:rStyle w:val="9"/>
          <w:rFonts w:hint="eastAsia" w:ascii="华文仿宋" w:hAnsi="华文仿宋" w:eastAsia="华文仿宋" w:cs="华文仿宋"/>
          <w:kern w:val="0"/>
          <w:sz w:val="24"/>
          <w:szCs w:val="24"/>
        </w:rPr>
        <w:t>重要须知：</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一、本说明书是《新疆银行股份有限公司人民币理财产品协议书》不可分割之部分。</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二、本产品为固定收益类公募非保本浮动收益净值型理财产品，无预期收益率，不保证本金和收益，可能因市场变动而损失部分或全部的本金及收益，请您充分认识投资风险，谨慎投资。</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三、新疆银行理财产品内部风险评级为R2稳健型（中低风险)，适合具有一定风险承受能力的有、无投资经验者购买。</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四、新疆银行股份有限公司（以下简称“新疆银行”)郑重提示：在购买理财产品前，投资者应确保自己完全明白该项投资的性质和所涉及的风险，详细了解和审慎评估该理财产品的资金投资方向、风险类型及</w:t>
      </w:r>
      <w:r>
        <w:rPr>
          <w:rFonts w:hint="eastAsia" w:ascii="华文仿宋" w:hAnsi="华文仿宋" w:eastAsia="华文仿宋" w:cs="华文仿宋"/>
          <w:color w:val="000000" w:themeColor="text1"/>
          <w:sz w:val="24"/>
          <w:szCs w:val="24"/>
          <w:lang w:eastAsia="zh-CN"/>
          <w14:textFill>
            <w14:solidFill>
              <w14:schemeClr w14:val="tx1"/>
            </w14:solidFill>
          </w14:textFill>
        </w:rPr>
        <w:t>投资</w:t>
      </w:r>
      <w:r>
        <w:rPr>
          <w:rFonts w:hint="eastAsia" w:ascii="华文仿宋" w:hAnsi="华文仿宋" w:eastAsia="华文仿宋" w:cs="华文仿宋"/>
          <w:color w:val="000000" w:themeColor="text1"/>
          <w:sz w:val="24"/>
          <w:szCs w:val="24"/>
          <w14:textFill>
            <w14:solidFill>
              <w14:schemeClr w14:val="tx1"/>
            </w14:solidFill>
          </w14:textFill>
        </w:rPr>
        <w:t>收益等基本情况，在慎重考虑后自行决定购买与自身风险能力和资产管理需求匹配的理财产品。</w:t>
      </w:r>
    </w:p>
    <w:p>
      <w:pPr>
        <w:spacing w:line="400" w:lineRule="exact"/>
        <w:ind w:firstLine="480"/>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五、在购买理财产品后，投资者应随时关注该理财产品的信息披露情况，及时获取相关信息。可依据本产品登记编码在“中国理财网(www.china</w:t>
      </w:r>
      <w:r>
        <w:rPr>
          <w:rFonts w:hint="eastAsia" w:ascii="华文仿宋" w:hAnsi="华文仿宋" w:eastAsia="华文仿宋" w:cs="华文仿宋"/>
          <w:color w:val="000000" w:themeColor="text1"/>
          <w:sz w:val="24"/>
          <w:szCs w:val="24"/>
          <w:lang w:val="en-US" w:eastAsia="zh-CN"/>
          <w14:textFill>
            <w14:solidFill>
              <w14:schemeClr w14:val="tx1"/>
            </w14:solidFill>
          </w14:textFill>
        </w:rPr>
        <w:t>w</w:t>
      </w:r>
      <w:r>
        <w:rPr>
          <w:rFonts w:hint="eastAsia" w:ascii="华文仿宋" w:hAnsi="华文仿宋" w:eastAsia="华文仿宋" w:cs="华文仿宋"/>
          <w:color w:val="000000" w:themeColor="text1"/>
          <w:sz w:val="24"/>
          <w:szCs w:val="24"/>
          <w14:textFill>
            <w14:solidFill>
              <w14:schemeClr w14:val="tx1"/>
            </w14:solidFill>
          </w14:textFill>
        </w:rPr>
        <w:t>ealth.com.cn)”查询产品信息。</w:t>
      </w:r>
    </w:p>
    <w:p>
      <w:pPr>
        <w:spacing w:line="400" w:lineRule="exact"/>
        <w:rPr>
          <w:rStyle w:val="9"/>
          <w:rFonts w:ascii="宋体" w:hAnsi="宋体" w:cs="宋体"/>
          <w:kern w:val="0"/>
          <w:sz w:val="18"/>
          <w:szCs w:val="18"/>
        </w:rPr>
      </w:pPr>
      <w:r>
        <w:rPr>
          <w:rFonts w:ascii="华文仿宋" w:hAnsi="华文仿宋" w:eastAsia="华文仿宋" w:cs="华文仿宋"/>
          <w:sz w:val="24"/>
          <w:szCs w:val="24"/>
        </w:rPr>
        <mc:AlternateContent>
          <mc:Choice Requires="wps">
            <w:drawing>
              <wp:anchor distT="0" distB="0" distL="114300" distR="114300" simplePos="0" relativeHeight="251657216" behindDoc="0" locked="0" layoutInCell="1" allowOverlap="1">
                <wp:simplePos x="0" y="0"/>
                <wp:positionH relativeFrom="column">
                  <wp:posOffset>-36195</wp:posOffset>
                </wp:positionH>
                <wp:positionV relativeFrom="paragraph">
                  <wp:posOffset>19050</wp:posOffset>
                </wp:positionV>
                <wp:extent cx="6229350" cy="495300"/>
                <wp:effectExtent l="4445" t="4445" r="14605" b="14605"/>
                <wp:wrapNone/>
                <wp:docPr id="8" name="文本框 2"/>
                <wp:cNvGraphicFramePr/>
                <a:graphic xmlns:a="http://schemas.openxmlformats.org/drawingml/2006/main">
                  <a:graphicData uri="http://schemas.microsoft.com/office/word/2010/wordprocessingShape">
                    <wps:wsp>
                      <wps:cNvSpPr txBox="1"/>
                      <wps:spPr>
                        <a:xfrm>
                          <a:off x="0" y="0"/>
                          <a:ext cx="6229350" cy="495300"/>
                        </a:xfrm>
                        <a:prstGeom prst="rect">
                          <a:avLst/>
                        </a:prstGeom>
                        <a:solidFill>
                          <a:srgbClr val="D9D9D9"/>
                        </a:solidFill>
                        <a:ln w="6350" cap="flat" cmpd="sng">
                          <a:solidFill>
                            <a:srgbClr val="000000"/>
                          </a:solidFill>
                          <a:prstDash val="solid"/>
                          <a:round/>
                          <a:headEnd type="none" w="med" len="med"/>
                          <a:tailEnd type="none" w="med" len="med"/>
                        </a:ln>
                        <a:effectLst/>
                      </wps:spPr>
                      <wps:txbx>
                        <w:txbxContent>
                          <w:p>
                            <w:pPr>
                              <w:jc w:val="center"/>
                            </w:pPr>
                            <w:r>
                              <w:rPr>
                                <w:rFonts w:hint="eastAsia" w:ascii="华文仿宋" w:hAnsi="华文仿宋" w:eastAsia="华文仿宋" w:cs="华文仿宋"/>
                                <w:b/>
                                <w:bCs/>
                                <w:color w:val="000000"/>
                                <w:sz w:val="28"/>
                                <w:szCs w:val="28"/>
                              </w:rPr>
                              <w:t>本产品特别提示</w:t>
                            </w:r>
                          </w:p>
                        </w:txbxContent>
                      </wps:txbx>
                      <wps:bodyPr vert="horz" anchor="t" upright="1"/>
                    </wps:wsp>
                  </a:graphicData>
                </a:graphic>
              </wp:anchor>
            </w:drawing>
          </mc:Choice>
          <mc:Fallback>
            <w:pict>
              <v:shape id="文本框 2" o:spid="_x0000_s1026" o:spt="202" type="#_x0000_t202" style="position:absolute;left:0pt;margin-left:-2.85pt;margin-top:1.5pt;height:39pt;width:490.5pt;z-index:251657216;mso-width-relative:page;mso-height-relative:page;" fillcolor="#D9D9D9" filled="t" stroked="t" coordsize="21600,21600" o:gfxdata="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8IAHD1gAAAAcBAAAPAAAAAAAAAAEAIAAAACIAAABkcnMv&#10;ZG93bnJldi54bWxQSwECFAAUAAAACACHTuJA5jl0/wUCAAANBAAADgAAAAAAAAABACAAAAAlAQAA&#10;ZHJzL2Uyb0RvYy54bWxQSwUGAAAAAAYABgBZAQAAnAUAAAAA&#10;">
                <v:fill on="t" focussize="0,0"/>
                <v:stroke weight="0.5pt" color="#000000" joinstyle="round"/>
                <v:imagedata o:title=""/>
                <o:lock v:ext="edit" aspectratio="f"/>
                <v:textbox>
                  <w:txbxContent>
                    <w:p>
                      <w:pPr>
                        <w:jc w:val="center"/>
                      </w:pPr>
                      <w:r>
                        <w:rPr>
                          <w:rFonts w:hint="eastAsia" w:ascii="华文仿宋" w:hAnsi="华文仿宋" w:eastAsia="华文仿宋" w:cs="华文仿宋"/>
                          <w:b/>
                          <w:bCs/>
                          <w:color w:val="000000"/>
                          <w:sz w:val="28"/>
                          <w:szCs w:val="28"/>
                        </w:rPr>
                        <w:t>本产品特别提示</w:t>
                      </w:r>
                    </w:p>
                  </w:txbxContent>
                </v:textbox>
              </v:shape>
            </w:pict>
          </mc:Fallback>
        </mc:AlternateContent>
      </w:r>
    </w:p>
    <w:p>
      <w:pPr>
        <w:spacing w:line="400" w:lineRule="exact"/>
        <w:rPr>
          <w:rStyle w:val="9"/>
          <w:rFonts w:ascii="宋体" w:hAnsi="宋体" w:cs="宋体"/>
          <w:color w:val="FFFFFF" w:themeColor="background1"/>
          <w:kern w:val="0"/>
          <w:sz w:val="18"/>
          <w:szCs w:val="18"/>
          <w14:textFill>
            <w14:solidFill>
              <w14:schemeClr w14:val="bg1"/>
            </w14:solidFill>
          </w14:textFill>
        </w:rPr>
      </w:pPr>
      <w:r>
        <w:rPr>
          <w:rFonts w:ascii="华文仿宋" w:hAnsi="华文仿宋" w:eastAsia="华文仿宋" w:cs="华文仿宋"/>
          <w:color w:val="FFFFFF" w:themeColor="background1"/>
          <w:sz w:val="24"/>
          <w:szCs w:val="24"/>
          <w14:textFill>
            <w14:solidFill>
              <w14:schemeClr w14:val="bg1"/>
            </w14:solidFill>
          </w14:textFill>
        </w:rPr>
        <mc:AlternateContent>
          <mc:Choice Requires="wps">
            <w:drawing>
              <wp:anchor distT="0" distB="0" distL="114300" distR="114300" simplePos="0" relativeHeight="251658240" behindDoc="0" locked="0" layoutInCell="1" allowOverlap="1">
                <wp:simplePos x="0" y="0"/>
                <wp:positionH relativeFrom="column">
                  <wp:posOffset>-43815</wp:posOffset>
                </wp:positionH>
                <wp:positionV relativeFrom="paragraph">
                  <wp:posOffset>225425</wp:posOffset>
                </wp:positionV>
                <wp:extent cx="6229350" cy="4538980"/>
                <wp:effectExtent l="4445" t="4445" r="14605" b="9525"/>
                <wp:wrapNone/>
                <wp:docPr id="27" name="文本框 27"/>
                <wp:cNvGraphicFramePr/>
                <a:graphic xmlns:a="http://schemas.openxmlformats.org/drawingml/2006/main">
                  <a:graphicData uri="http://schemas.microsoft.com/office/word/2010/wordprocessingShape">
                    <wps:wsp>
                      <wps:cNvSpPr txBox="1"/>
                      <wps:spPr>
                        <a:xfrm>
                          <a:off x="737235" y="4573905"/>
                          <a:ext cx="6238875" cy="3923665"/>
                        </a:xfrm>
                        <a:prstGeom prst="rect">
                          <a:avLst/>
                        </a:prstGeom>
                        <a:solidFill>
                          <a:srgbClr val="FFFFFF"/>
                        </a:solidFill>
                        <a:ln w="6350">
                          <a:solidFill>
                            <a:prstClr val="black"/>
                          </a:solidFill>
                        </a:ln>
                        <a:effectLst/>
                      </wps:spPr>
                      <wps:txbx>
                        <w:txbxContent>
                          <w:p>
                            <w:pPr>
                              <w:spacing w:line="400" w:lineRule="exact"/>
                              <w:jc w:val="left"/>
                              <w:rPr>
                                <w:rFonts w:ascii="华文仿宋" w:hAnsi="华文仿宋" w:eastAsia="华文仿宋" w:cs="华文仿宋"/>
                                <w:color w:val="000000"/>
                                <w:sz w:val="24"/>
                                <w:szCs w:val="24"/>
                              </w:rPr>
                            </w:pPr>
                            <w:r>
                              <w:rPr>
                                <w:rStyle w:val="9"/>
                                <w:rFonts w:hint="eastAsia" w:ascii="华文仿宋" w:hAnsi="华文仿宋" w:eastAsia="华文仿宋" w:cs="华文仿宋"/>
                                <w:b w:val="0"/>
                                <w:bCs w:val="0"/>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9"/>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rPr>
                                <w:rStyle w:val="9"/>
                                <w:rFonts w:ascii="宋体" w:hAnsi="宋体" w:cs="宋体"/>
                                <w:b w:val="0"/>
                                <w:bCs w:val="0"/>
                                <w:kern w:val="0"/>
                                <w:szCs w:val="21"/>
                              </w:rPr>
                            </w:pPr>
                            <w:r>
                              <w:rPr>
                                <w:rStyle w:val="9"/>
                                <w:rFonts w:hint="eastAsia" w:ascii="宋体" w:hAnsi="宋体" w:cs="宋体"/>
                                <w:kern w:val="0"/>
                                <w:szCs w:val="21"/>
                              </w:rPr>
                              <w:t>风险程度</w:t>
                            </w:r>
                          </w:p>
                          <w:p>
                            <w:pPr>
                              <w:spacing w:line="400" w:lineRule="exact"/>
                              <w:jc w:val="left"/>
                              <w:rPr>
                                <w:rFonts w:ascii="华文仿宋" w:hAnsi="华文仿宋" w:eastAsia="华文仿宋" w:cs="华文仿宋"/>
                                <w:kern w:val="0"/>
                                <w:sz w:val="24"/>
                                <w:szCs w:val="24"/>
                              </w:rPr>
                            </w:pPr>
                            <w:r>
                              <w:rPr>
                                <w:rStyle w:val="9"/>
                                <w:rFonts w:hint="eastAsia" w:ascii="华文仿宋" w:hAnsi="华文仿宋" w:eastAsia="华文仿宋" w:cs="华文仿宋"/>
                                <w:b w:val="0"/>
                                <w:bCs w:val="0"/>
                                <w:kern w:val="0"/>
                                <w:sz w:val="24"/>
                                <w:szCs w:val="24"/>
                              </w:rPr>
                              <w:t>本产品评级为新疆银行基于投资品种期限、信用等级等相关要素做出的内部评级结果。风险等级为中低是指本产品投资组合的整体评级为我行的中低风险等级。</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5pt;margin-top:17.75pt;height:357.4pt;width:490.5pt;z-index:251658240;mso-width-relative:page;mso-height-relative:page;" fillcolor="#FFFFFF" filled="t" stroked="t" coordsize="21600,21600" o:gfxdata="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GoKR1wAAAAkBAAAP&#10;AAAAAAAAAAEAIAAAACIAAABkcnMvZG93bnJldi54bWxQSwECFAAUAAAACACHTuJAfekY/FICAACF&#10;BAAADgAAAAAAAAABACAAAAAmAQAAZHJzL2Uyb0RvYy54bWxQSwUGAAAAAAYABgBZAQAA6gUAAAAA&#10;">
                <v:fill on="t" focussize="0,0"/>
                <v:stroke weight="0.5pt" color="#000000" joinstyle="round"/>
                <v:imagedata o:title=""/>
                <o:lock v:ext="edit" aspectratio="f"/>
                <v:textbox>
                  <w:txbxContent>
                    <w:p>
                      <w:pPr>
                        <w:spacing w:line="400" w:lineRule="exact"/>
                        <w:jc w:val="left"/>
                        <w:rPr>
                          <w:rFonts w:ascii="华文仿宋" w:hAnsi="华文仿宋" w:eastAsia="华文仿宋" w:cs="华文仿宋"/>
                          <w:color w:val="000000"/>
                          <w:sz w:val="24"/>
                          <w:szCs w:val="24"/>
                        </w:rPr>
                      </w:pPr>
                      <w:r>
                        <w:rPr>
                          <w:rStyle w:val="9"/>
                          <w:rFonts w:hint="eastAsia" w:ascii="华文仿宋" w:hAnsi="华文仿宋" w:eastAsia="华文仿宋" w:cs="华文仿宋"/>
                          <w:b w:val="0"/>
                          <w:bCs w:val="0"/>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9"/>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rPr>
                          <w:rStyle w:val="9"/>
                          <w:rFonts w:ascii="宋体" w:hAnsi="宋体" w:cs="宋体"/>
                          <w:b w:val="0"/>
                          <w:bCs w:val="0"/>
                          <w:kern w:val="0"/>
                          <w:szCs w:val="21"/>
                        </w:rPr>
                      </w:pPr>
                      <w:r>
                        <w:rPr>
                          <w:rStyle w:val="9"/>
                          <w:rFonts w:hint="eastAsia" w:ascii="宋体" w:hAnsi="宋体" w:cs="宋体"/>
                          <w:kern w:val="0"/>
                          <w:szCs w:val="21"/>
                        </w:rPr>
                        <w:t>风险程度</w:t>
                      </w:r>
                    </w:p>
                    <w:p>
                      <w:pPr>
                        <w:spacing w:line="400" w:lineRule="exact"/>
                        <w:jc w:val="left"/>
                        <w:rPr>
                          <w:rFonts w:ascii="华文仿宋" w:hAnsi="华文仿宋" w:eastAsia="华文仿宋" w:cs="华文仿宋"/>
                          <w:kern w:val="0"/>
                          <w:sz w:val="24"/>
                          <w:szCs w:val="24"/>
                        </w:rPr>
                      </w:pPr>
                      <w:r>
                        <w:rPr>
                          <w:rStyle w:val="9"/>
                          <w:rFonts w:hint="eastAsia" w:ascii="华文仿宋" w:hAnsi="华文仿宋" w:eastAsia="华文仿宋" w:cs="华文仿宋"/>
                          <w:b w:val="0"/>
                          <w:bCs w:val="0"/>
                          <w:kern w:val="0"/>
                          <w:sz w:val="24"/>
                          <w:szCs w:val="24"/>
                        </w:rPr>
                        <w:t>本产品评级为新疆银行基于投资品种期限、信用等级等相关要素做出的内部评级结果。风险等级为中低是指本产品投资组合的整体评级为我行的中低风险等级。</w:t>
                      </w:r>
                    </w:p>
                  </w:txbxContent>
                </v:textbox>
              </v:shape>
            </w:pict>
          </mc:Fallback>
        </mc:AlternateContent>
      </w:r>
      <w:r>
        <w:rPr>
          <w:rStyle w:val="9"/>
          <w:rFonts w:hint="eastAsia" w:ascii="宋体" w:hAnsi="宋体" w:cs="宋体"/>
          <w:color w:val="FFFFFF" w:themeColor="background1"/>
          <w:kern w:val="0"/>
          <w:sz w:val="18"/>
          <w:szCs w:val="18"/>
          <w14:textFill>
            <w14:solidFill>
              <w14:schemeClr w14:val="bg1"/>
            </w14:solidFill>
          </w14:textFill>
        </w:rPr>
        <w:t>一、特别提示</w:t>
      </w: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tbl>
      <w:tblPr>
        <w:tblStyle w:val="6"/>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4"/>
        <w:gridCol w:w="8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rPr>
        <w:tc>
          <w:tcPr>
            <w:tcW w:w="9962" w:type="dxa"/>
            <w:gridSpan w:val="2"/>
            <w:tcBorders>
              <w:top w:val="single" w:color="000000" w:sz="4" w:space="0"/>
              <w:bottom w:val="single" w:color="000000" w:sz="4" w:space="0"/>
            </w:tcBorders>
            <w:shd w:val="clear" w:color="auto" w:fill="D7D7D7" w:themeFill="background1" w:themeFillShade="D8"/>
            <w:vAlign w:val="center"/>
          </w:tcPr>
          <w:p>
            <w:pPr>
              <w:spacing w:line="400" w:lineRule="exact"/>
              <w:jc w:val="center"/>
              <w:rPr>
                <w:rFonts w:ascii="华文仿宋" w:hAnsi="华文仿宋" w:eastAsia="华文仿宋" w:cs="华文仿宋"/>
                <w:bCs/>
                <w:kern w:val="0"/>
                <w:szCs w:val="21"/>
              </w:rPr>
            </w:pPr>
            <w:r>
              <w:rPr>
                <w:rFonts w:hint="eastAsia" w:ascii="华文仿宋" w:hAnsi="华文仿宋" w:eastAsia="华文仿宋" w:cs="华文仿宋"/>
                <w:b/>
                <w:bCs/>
                <w:sz w:val="28"/>
                <w:szCs w:val="28"/>
              </w:rPr>
              <w:t>产品说明部分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914" w:type="dxa"/>
            <w:tcBorders>
              <w:top w:val="single" w:color="000000" w:sz="4" w:space="0"/>
            </w:tcBorders>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产品名称</w:t>
            </w:r>
          </w:p>
        </w:tc>
        <w:tc>
          <w:tcPr>
            <w:tcW w:w="8048" w:type="dxa"/>
            <w:tcBorders>
              <w:top w:val="single" w:color="000000" w:sz="4" w:space="0"/>
            </w:tcBorders>
            <w:vAlign w:val="center"/>
          </w:tcPr>
          <w:p>
            <w:pPr>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新疆银行金胡杨封闭净值型理财</w:t>
            </w:r>
            <w:r>
              <w:rPr>
                <w:rFonts w:hint="eastAsia" w:ascii="华文仿宋" w:hAnsi="华文仿宋" w:eastAsia="华文仿宋" w:cs="华文仿宋"/>
                <w:bCs/>
                <w:kern w:val="0"/>
                <w:sz w:val="24"/>
                <w:szCs w:val="24"/>
                <w:lang w:eastAsia="zh-CN"/>
              </w:rPr>
              <w:t>第</w:t>
            </w:r>
            <w:r>
              <w:rPr>
                <w:rFonts w:hint="eastAsia" w:ascii="华文仿宋" w:hAnsi="华文仿宋" w:eastAsia="华文仿宋" w:cs="华文仿宋"/>
                <w:bCs/>
                <w:kern w:val="0"/>
                <w:sz w:val="24"/>
                <w:szCs w:val="24"/>
                <w:lang w:val="en-US" w:eastAsia="zh-CN"/>
              </w:rPr>
              <w:t>41期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14" w:type="dxa"/>
            <w:vAlign w:val="center"/>
          </w:tcPr>
          <w:p>
            <w:pPr>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产品登记编码</w:t>
            </w:r>
          </w:p>
        </w:tc>
        <w:tc>
          <w:tcPr>
            <w:tcW w:w="8048" w:type="dxa"/>
            <w:vAlign w:val="center"/>
          </w:tcPr>
          <w:p>
            <w:pPr>
              <w:spacing w:line="400" w:lineRule="exact"/>
              <w:jc w:val="left"/>
              <w:rPr>
                <w:rFonts w:hint="default" w:ascii="华文仿宋" w:hAnsi="华文仿宋" w:eastAsia="华文仿宋" w:cs="华文仿宋"/>
                <w:bCs/>
                <w:kern w:val="0"/>
                <w:sz w:val="24"/>
                <w:szCs w:val="24"/>
                <w:lang w:val="en-US" w:eastAsia="zh-CN"/>
              </w:rPr>
            </w:pPr>
            <w:r>
              <w:rPr>
                <w:rFonts w:hint="default" w:ascii="华文仿宋" w:hAnsi="华文仿宋" w:eastAsia="华文仿宋" w:cs="华文仿宋"/>
                <w:bCs/>
                <w:kern w:val="0"/>
                <w:sz w:val="24"/>
                <w:szCs w:val="24"/>
                <w:lang w:val="en-US" w:eastAsia="zh-CN"/>
              </w:rPr>
              <w:t xml:space="preserve">C1364320000047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理财产品管理人</w:t>
            </w:r>
          </w:p>
        </w:tc>
        <w:tc>
          <w:tcPr>
            <w:tcW w:w="8048" w:type="dxa"/>
            <w:vAlign w:val="center"/>
          </w:tcPr>
          <w:p>
            <w:pPr>
              <w:spacing w:line="400" w:lineRule="exact"/>
              <w:jc w:val="left"/>
              <w:rPr>
                <w:rFonts w:ascii="华文仿宋" w:hAnsi="华文仿宋" w:eastAsia="华文仿宋" w:cs="华文仿宋"/>
                <w:bCs/>
                <w:kern w:val="0"/>
                <w:sz w:val="24"/>
                <w:szCs w:val="24"/>
                <w:u w:val="single"/>
              </w:rPr>
            </w:pPr>
            <w:r>
              <w:rPr>
                <w:rFonts w:hint="eastAsia" w:ascii="华文仿宋" w:hAnsi="华文仿宋" w:eastAsia="华文仿宋" w:cs="华文仿宋"/>
                <w:bCs/>
                <w:kern w:val="0"/>
                <w:sz w:val="24"/>
                <w:szCs w:val="24"/>
              </w:rPr>
              <w:t>新疆银行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投资及收益币种</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募集方式</w:t>
            </w:r>
          </w:p>
        </w:tc>
        <w:tc>
          <w:tcPr>
            <w:tcW w:w="8048" w:type="dxa"/>
            <w:vAlign w:val="center"/>
          </w:tcPr>
          <w:p>
            <w:pPr>
              <w:spacing w:line="400" w:lineRule="exact"/>
              <w:jc w:val="left"/>
              <w:rPr>
                <w:rStyle w:val="9"/>
                <w:rFonts w:ascii="华文仿宋" w:hAnsi="华文仿宋" w:eastAsia="华文仿宋" w:cs="华文仿宋"/>
                <w:b w:val="0"/>
                <w:bCs w:val="0"/>
                <w:kern w:val="0"/>
                <w:sz w:val="24"/>
                <w:szCs w:val="24"/>
              </w:rPr>
            </w:pPr>
            <w:r>
              <w:rPr>
                <w:rStyle w:val="9"/>
                <w:rFonts w:hint="eastAsia" w:ascii="华文仿宋" w:hAnsi="华文仿宋" w:eastAsia="华文仿宋" w:cs="华文仿宋"/>
                <w:b w:val="0"/>
                <w:bCs w:val="0"/>
                <w:kern w:val="0"/>
                <w:sz w:val="24"/>
                <w:szCs w:val="24"/>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产品类型</w:t>
            </w:r>
          </w:p>
        </w:tc>
        <w:tc>
          <w:tcPr>
            <w:tcW w:w="8048" w:type="dxa"/>
            <w:vAlign w:val="center"/>
          </w:tcPr>
          <w:p>
            <w:pPr>
              <w:spacing w:line="400" w:lineRule="exact"/>
              <w:jc w:val="left"/>
              <w:rPr>
                <w:rFonts w:ascii="华文仿宋" w:hAnsi="华文仿宋" w:eastAsia="华文仿宋" w:cs="华文仿宋"/>
                <w:sz w:val="24"/>
                <w:szCs w:val="24"/>
              </w:rPr>
            </w:pPr>
            <w:r>
              <w:rPr>
                <w:rStyle w:val="9"/>
                <w:rFonts w:hint="eastAsia" w:ascii="华文仿宋" w:hAnsi="华文仿宋" w:eastAsia="华文仿宋" w:cs="华文仿宋"/>
                <w:b w:val="0"/>
                <w:bCs w:val="0"/>
                <w:kern w:val="0"/>
                <w:sz w:val="24"/>
                <w:szCs w:val="24"/>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产品运作模式</w:t>
            </w:r>
          </w:p>
        </w:tc>
        <w:tc>
          <w:tcPr>
            <w:tcW w:w="8048" w:type="dxa"/>
            <w:vAlign w:val="center"/>
          </w:tcPr>
          <w:p>
            <w:pPr>
              <w:spacing w:line="400" w:lineRule="exact"/>
              <w:jc w:val="left"/>
              <w:rPr>
                <w:rStyle w:val="9"/>
                <w:rFonts w:ascii="华文仿宋" w:hAnsi="华文仿宋" w:eastAsia="华文仿宋" w:cs="华文仿宋"/>
                <w:b w:val="0"/>
                <w:bCs w:val="0"/>
                <w:kern w:val="0"/>
                <w:sz w:val="24"/>
                <w:szCs w:val="24"/>
              </w:rPr>
            </w:pPr>
            <w:r>
              <w:rPr>
                <w:rStyle w:val="9"/>
                <w:rFonts w:hint="eastAsia" w:ascii="华文仿宋" w:hAnsi="华文仿宋" w:eastAsia="华文仿宋" w:cs="华文仿宋"/>
                <w:b w:val="0"/>
                <w:bCs w:val="0"/>
                <w:kern w:val="0"/>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产品投资性质</w:t>
            </w:r>
          </w:p>
        </w:tc>
        <w:tc>
          <w:tcPr>
            <w:tcW w:w="8048" w:type="dxa"/>
            <w:vAlign w:val="center"/>
          </w:tcPr>
          <w:p>
            <w:pPr>
              <w:spacing w:line="400" w:lineRule="exact"/>
              <w:jc w:val="left"/>
              <w:rPr>
                <w:rStyle w:val="9"/>
                <w:rFonts w:ascii="华文仿宋" w:hAnsi="华文仿宋" w:eastAsia="华文仿宋" w:cs="华文仿宋"/>
                <w:b w:val="0"/>
                <w:bCs w:val="0"/>
                <w:kern w:val="0"/>
                <w:sz w:val="24"/>
                <w:szCs w:val="24"/>
              </w:rPr>
            </w:pPr>
            <w:r>
              <w:rPr>
                <w:rStyle w:val="9"/>
                <w:rFonts w:hint="eastAsia" w:ascii="华文仿宋" w:hAnsi="华文仿宋" w:eastAsia="华文仿宋" w:cs="华文仿宋"/>
                <w:b w:val="0"/>
                <w:bCs w:val="0"/>
                <w:kern w:val="0"/>
                <w:sz w:val="24"/>
                <w:szCs w:val="24"/>
              </w:rPr>
              <w:t>固定收益类产品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产品期限</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lang w:val="en-US" w:eastAsia="zh-CN"/>
              </w:rPr>
              <w:t>368</w:t>
            </w:r>
            <w:r>
              <w:rPr>
                <w:rFonts w:hint="eastAsia" w:ascii="华文仿宋" w:hAnsi="华文仿宋" w:eastAsia="华文仿宋" w:cs="华文仿宋"/>
                <w:bCs/>
                <w:kern w:val="0"/>
                <w:sz w:val="24"/>
                <w:szCs w:val="24"/>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内部风险评级</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根据新疆银行理财产品风险评级，本产品属于</w:t>
            </w:r>
            <w:r>
              <w:rPr>
                <w:rFonts w:hint="eastAsia" w:ascii="华文仿宋" w:hAnsi="华文仿宋" w:eastAsia="华文仿宋" w:cs="华文仿宋"/>
                <w:b/>
                <w:kern w:val="0"/>
                <w:sz w:val="24"/>
                <w:szCs w:val="24"/>
              </w:rPr>
              <w:t>R2稳健类</w:t>
            </w:r>
            <w:r>
              <w:rPr>
                <w:rFonts w:hint="eastAsia" w:ascii="华文仿宋" w:hAnsi="华文仿宋" w:eastAsia="华文仿宋" w:cs="华文仿宋"/>
                <w:bCs/>
                <w:kern w:val="0"/>
                <w:sz w:val="24"/>
                <w:szCs w:val="24"/>
              </w:rPr>
              <w:t>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适合客户类型</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经新疆银行风险评估，本产品适合</w:t>
            </w:r>
            <w:r>
              <w:rPr>
                <w:rFonts w:hint="eastAsia" w:ascii="华文仿宋" w:hAnsi="华文仿宋" w:eastAsia="华文仿宋" w:cs="华文仿宋"/>
                <w:b/>
                <w:bCs/>
                <w:sz w:val="24"/>
                <w:szCs w:val="24"/>
              </w:rPr>
              <w:t>稳健型、平衡型、成长型、进取型</w:t>
            </w:r>
            <w:r>
              <w:rPr>
                <w:rFonts w:hint="eastAsia" w:ascii="华文仿宋" w:hAnsi="华文仿宋" w:eastAsia="华文仿宋" w:cs="华文仿宋"/>
                <w:bCs/>
                <w:kern w:val="0"/>
                <w:sz w:val="24"/>
                <w:szCs w:val="24"/>
              </w:rPr>
              <w:t>的不特定社会公众</w:t>
            </w:r>
            <w:r>
              <w:rPr>
                <w:rFonts w:hint="eastAsia" w:ascii="华文仿宋" w:hAnsi="华文仿宋" w:eastAsia="华文仿宋" w:cs="华文仿宋"/>
                <w:bCs/>
                <w:kern w:val="0"/>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认购起点</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本理财产品认购起点为人民币1万元，以1千元整数倍递增</w:t>
            </w:r>
            <w:r>
              <w:rPr>
                <w:rFonts w:hint="eastAsia" w:ascii="华文仿宋" w:hAnsi="华文仿宋" w:eastAsia="华文仿宋" w:cs="华文仿宋"/>
                <w:bCs/>
                <w:kern w:val="0"/>
                <w:sz w:val="24"/>
                <w:szCs w:val="24"/>
                <w:lang w:eastAsia="zh-CN"/>
              </w:rPr>
              <w:t>，单笔认购最高金额为</w:t>
            </w:r>
            <w:r>
              <w:rPr>
                <w:rFonts w:hint="eastAsia" w:ascii="华文仿宋" w:hAnsi="华文仿宋" w:eastAsia="华文仿宋" w:cs="华文仿宋"/>
                <w:bCs/>
                <w:kern w:val="0"/>
                <w:sz w:val="24"/>
                <w:szCs w:val="24"/>
                <w:lang w:val="en-US" w:eastAsia="zh-CN"/>
              </w:rPr>
              <w:t>10万元</w:t>
            </w:r>
            <w:r>
              <w:rPr>
                <w:rFonts w:hint="eastAsia" w:ascii="华文仿宋" w:hAnsi="华文仿宋" w:eastAsia="华文仿宋" w:cs="华文仿宋"/>
                <w:bCs/>
                <w:kern w:val="0"/>
                <w:sz w:val="24"/>
                <w:szCs w:val="24"/>
              </w:rPr>
              <w:t>。</w:t>
            </w:r>
          </w:p>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bCs/>
                <w:kern w:val="0"/>
                <w:sz w:val="24"/>
                <w:szCs w:val="24"/>
              </w:rPr>
              <w:t>认购份额=认购金额/（1+认购费率），保留小数点后两位。本产品认购费率为0%。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募集规模</w:t>
            </w:r>
          </w:p>
        </w:tc>
        <w:tc>
          <w:tcPr>
            <w:tcW w:w="8048" w:type="dxa"/>
            <w:vAlign w:val="center"/>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产品规模上限</w:t>
            </w:r>
            <w:r>
              <w:rPr>
                <w:rFonts w:hint="eastAsia" w:ascii="华文仿宋" w:hAnsi="华文仿宋" w:eastAsia="华文仿宋" w:cs="华文仿宋"/>
                <w:kern w:val="0"/>
                <w:sz w:val="24"/>
                <w:szCs w:val="24"/>
                <w:lang w:val="en-US" w:eastAsia="zh-CN"/>
              </w:rPr>
              <w:t>3000</w:t>
            </w:r>
            <w:r>
              <w:rPr>
                <w:rFonts w:hint="eastAsia" w:ascii="华文仿宋" w:hAnsi="华文仿宋" w:eastAsia="华文仿宋" w:cs="华文仿宋"/>
                <w:kern w:val="0"/>
                <w:sz w:val="24"/>
                <w:szCs w:val="24"/>
              </w:rPr>
              <w:t>万元，产品成立规模下限</w:t>
            </w:r>
            <w:r>
              <w:rPr>
                <w:rFonts w:hint="eastAsia" w:ascii="华文仿宋" w:hAnsi="华文仿宋" w:eastAsia="华文仿宋" w:cs="华文仿宋"/>
                <w:kern w:val="0"/>
                <w:sz w:val="24"/>
                <w:szCs w:val="24"/>
                <w:lang w:val="en-US" w:eastAsia="zh-CN"/>
              </w:rPr>
              <w:t>1000</w:t>
            </w:r>
            <w:r>
              <w:rPr>
                <w:rFonts w:hint="eastAsia" w:ascii="华文仿宋" w:hAnsi="华文仿宋" w:eastAsia="华文仿宋" w:cs="华文仿宋"/>
                <w:kern w:val="0"/>
                <w:sz w:val="24"/>
                <w:szCs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产品募集期</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lang w:val="en-US" w:eastAsia="zh-CN"/>
              </w:rPr>
              <w:t>2020</w:t>
            </w:r>
            <w:r>
              <w:rPr>
                <w:rFonts w:hint="eastAsia" w:ascii="华文仿宋" w:hAnsi="华文仿宋" w:eastAsia="华文仿宋" w:cs="华文仿宋"/>
                <w:bCs/>
                <w:kern w:val="0"/>
                <w:sz w:val="24"/>
                <w:szCs w:val="24"/>
              </w:rPr>
              <w:t xml:space="preserve">年 </w:t>
            </w:r>
            <w:r>
              <w:rPr>
                <w:rFonts w:hint="eastAsia" w:ascii="华文仿宋" w:hAnsi="华文仿宋" w:eastAsia="华文仿宋" w:cs="华文仿宋"/>
                <w:bCs/>
                <w:kern w:val="0"/>
                <w:sz w:val="24"/>
                <w:szCs w:val="24"/>
                <w:lang w:val="en-US" w:eastAsia="zh-CN"/>
              </w:rPr>
              <w:t>10</w:t>
            </w:r>
            <w:r>
              <w:rPr>
                <w:rFonts w:hint="eastAsia" w:ascii="华文仿宋" w:hAnsi="华文仿宋" w:eastAsia="华文仿宋" w:cs="华文仿宋"/>
                <w:bCs/>
                <w:kern w:val="0"/>
                <w:sz w:val="24"/>
                <w:szCs w:val="24"/>
              </w:rPr>
              <w:t>月</w:t>
            </w:r>
            <w:r>
              <w:rPr>
                <w:rFonts w:hint="eastAsia" w:ascii="华文仿宋" w:hAnsi="华文仿宋" w:eastAsia="华文仿宋" w:cs="华文仿宋"/>
                <w:bCs/>
                <w:kern w:val="0"/>
                <w:sz w:val="24"/>
                <w:szCs w:val="24"/>
                <w:lang w:val="en-US" w:eastAsia="zh-CN"/>
              </w:rPr>
              <w:t>08</w:t>
            </w:r>
            <w:r>
              <w:rPr>
                <w:rFonts w:hint="eastAsia" w:ascii="华文仿宋" w:hAnsi="华文仿宋" w:eastAsia="华文仿宋" w:cs="华文仿宋"/>
                <w:bCs/>
                <w:kern w:val="0"/>
                <w:sz w:val="24"/>
                <w:szCs w:val="24"/>
              </w:rPr>
              <w:t>日至</w:t>
            </w:r>
            <w:r>
              <w:rPr>
                <w:rFonts w:hint="eastAsia" w:ascii="华文仿宋" w:hAnsi="华文仿宋" w:eastAsia="华文仿宋" w:cs="华文仿宋"/>
                <w:bCs/>
                <w:kern w:val="0"/>
                <w:sz w:val="24"/>
                <w:szCs w:val="24"/>
                <w:lang w:val="en-US" w:eastAsia="zh-CN"/>
              </w:rPr>
              <w:t>2020</w:t>
            </w:r>
            <w:r>
              <w:rPr>
                <w:rFonts w:hint="eastAsia" w:ascii="华文仿宋" w:hAnsi="华文仿宋" w:eastAsia="华文仿宋" w:cs="华文仿宋"/>
                <w:bCs/>
                <w:kern w:val="0"/>
                <w:sz w:val="24"/>
                <w:szCs w:val="24"/>
              </w:rPr>
              <w:t xml:space="preserve">年 </w:t>
            </w:r>
            <w:r>
              <w:rPr>
                <w:rFonts w:hint="eastAsia" w:ascii="华文仿宋" w:hAnsi="华文仿宋" w:eastAsia="华文仿宋" w:cs="华文仿宋"/>
                <w:bCs/>
                <w:kern w:val="0"/>
                <w:sz w:val="24"/>
                <w:szCs w:val="24"/>
                <w:lang w:val="en-US" w:eastAsia="zh-CN"/>
              </w:rPr>
              <w:t>10</w:t>
            </w:r>
            <w:r>
              <w:rPr>
                <w:rFonts w:hint="eastAsia" w:ascii="华文仿宋" w:hAnsi="华文仿宋" w:eastAsia="华文仿宋" w:cs="华文仿宋"/>
                <w:bCs/>
                <w:kern w:val="0"/>
                <w:sz w:val="24"/>
                <w:szCs w:val="24"/>
              </w:rPr>
              <w:t>月</w:t>
            </w:r>
            <w:r>
              <w:rPr>
                <w:rFonts w:hint="eastAsia" w:ascii="华文仿宋" w:hAnsi="华文仿宋" w:eastAsia="华文仿宋" w:cs="华文仿宋"/>
                <w:bCs/>
                <w:kern w:val="0"/>
                <w:sz w:val="24"/>
                <w:szCs w:val="24"/>
                <w:lang w:val="en-US" w:eastAsia="zh-CN"/>
              </w:rPr>
              <w:t>09</w:t>
            </w:r>
            <w:r>
              <w:rPr>
                <w:rFonts w:hint="eastAsia" w:ascii="华文仿宋" w:hAnsi="华文仿宋" w:eastAsia="华文仿宋" w:cs="华文仿宋"/>
                <w:bCs/>
                <w:kern w:val="0"/>
                <w:sz w:val="24"/>
                <w:szCs w:val="24"/>
              </w:rPr>
              <w:t>日。即客户可以购买本产品的时间段。客户在募集期内认购本理财产品后，理财资金将在成立日开始进行投资，募集期内，您购买理财的资金按照活期存款利率计息，募集期内的利息不计入认购本金份额。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4"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产品成立日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kern w:val="0"/>
                <w:sz w:val="24"/>
                <w:szCs w:val="24"/>
                <w:lang w:val="en-US" w:eastAsia="zh-CN"/>
              </w:rPr>
              <w:t>2020</w:t>
            </w:r>
            <w:r>
              <w:rPr>
                <w:rFonts w:hint="eastAsia" w:ascii="华文仿宋" w:hAnsi="华文仿宋" w:eastAsia="华文仿宋" w:cs="华文仿宋"/>
                <w:kern w:val="0"/>
                <w:sz w:val="24"/>
                <w:szCs w:val="24"/>
              </w:rPr>
              <w:t xml:space="preserve">年 </w:t>
            </w:r>
            <w:r>
              <w:rPr>
                <w:rFonts w:hint="eastAsia" w:ascii="华文仿宋" w:hAnsi="华文仿宋" w:eastAsia="华文仿宋" w:cs="华文仿宋"/>
                <w:kern w:val="0"/>
                <w:sz w:val="24"/>
                <w:szCs w:val="24"/>
                <w:lang w:val="en-US" w:eastAsia="zh-CN"/>
              </w:rPr>
              <w:t>10</w:t>
            </w:r>
            <w:r>
              <w:rPr>
                <w:rFonts w:hint="eastAsia" w:ascii="华文仿宋" w:hAnsi="华文仿宋" w:eastAsia="华文仿宋" w:cs="华文仿宋"/>
                <w:kern w:val="0"/>
                <w:sz w:val="24"/>
                <w:szCs w:val="24"/>
              </w:rPr>
              <w:t>月</w:t>
            </w:r>
            <w:r>
              <w:rPr>
                <w:rFonts w:hint="eastAsia" w:ascii="华文仿宋" w:hAnsi="华文仿宋" w:eastAsia="华文仿宋" w:cs="华文仿宋"/>
                <w:kern w:val="0"/>
                <w:sz w:val="24"/>
                <w:szCs w:val="24"/>
                <w:lang w:val="en-US" w:eastAsia="zh-CN"/>
              </w:rPr>
              <w:t>10</w:t>
            </w:r>
            <w:r>
              <w:rPr>
                <w:rFonts w:hint="eastAsia" w:ascii="华文仿宋" w:hAnsi="华文仿宋" w:eastAsia="华文仿宋" w:cs="华文仿宋"/>
                <w:kern w:val="0"/>
                <w:sz w:val="24"/>
                <w:szCs w:val="24"/>
              </w:rPr>
              <w:t>日</w:t>
            </w:r>
            <w:r>
              <w:rPr>
                <w:rFonts w:hint="eastAsia" w:ascii="华文仿宋" w:hAnsi="华文仿宋" w:eastAsia="华文仿宋" w:cs="华文仿宋"/>
                <w:bCs/>
                <w:kern w:val="0"/>
                <w:sz w:val="24"/>
                <w:szCs w:val="24"/>
              </w:rPr>
              <w:t>，</w:t>
            </w:r>
            <w:r>
              <w:rPr>
                <w:rFonts w:hint="eastAsia" w:ascii="华文仿宋" w:hAnsi="华文仿宋" w:eastAsia="华文仿宋" w:cs="华文仿宋"/>
                <w:kern w:val="0"/>
                <w:sz w:val="24"/>
                <w:szCs w:val="24"/>
              </w:rPr>
              <w:t>理财产品自成立日起计算理财收益。</w:t>
            </w:r>
            <w:r>
              <w:rPr>
                <w:rFonts w:hint="eastAsia" w:ascii="华文仿宋" w:hAnsi="华文仿宋" w:eastAsia="华文仿宋" w:cs="华文仿宋"/>
                <w:bCs/>
                <w:kern w:val="0"/>
                <w:sz w:val="24"/>
                <w:szCs w:val="24"/>
              </w:rPr>
              <w:t>在正常情况下，产品的成立日为募集期结束后的第一个工作日。但在以下两种情形除外：（1）若在募集期届满之前募集资金已经达到产品募集上限，新疆银行有权提前结束募集并提前成立该理财产品，产品提前成立时银行将调整成立日期；（2）若在募集期届满之日未达到产品募集下限，或出台新的法律、法规导致本产品无法合法合规运行，或出现其他导致影响产品成立不可抗力因素，新疆银行有权选择本产品不能成立，理财本金将在募集期结束后3个工作日内返还投资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产品到期日</w:t>
            </w:r>
          </w:p>
        </w:tc>
        <w:tc>
          <w:tcPr>
            <w:tcW w:w="8048" w:type="dxa"/>
            <w:vAlign w:val="center"/>
          </w:tcPr>
          <w:p>
            <w:pPr>
              <w:spacing w:line="400" w:lineRule="exact"/>
              <w:jc w:val="left"/>
              <w:rPr>
                <w:rFonts w:ascii="华文仿宋" w:hAnsi="华文仿宋" w:eastAsia="华文仿宋" w:cs="华文仿宋"/>
                <w:bCs/>
                <w:sz w:val="24"/>
                <w:szCs w:val="24"/>
              </w:rPr>
            </w:pPr>
            <w:r>
              <w:rPr>
                <w:rFonts w:hint="eastAsia" w:ascii="华文仿宋" w:hAnsi="华文仿宋" w:eastAsia="华文仿宋" w:cs="华文仿宋"/>
                <w:bCs/>
                <w:sz w:val="24"/>
                <w:szCs w:val="24"/>
                <w:lang w:val="en-US" w:eastAsia="zh-CN"/>
              </w:rPr>
              <w:t>2021年10</w:t>
            </w:r>
            <w:r>
              <w:rPr>
                <w:rFonts w:hint="eastAsia" w:ascii="华文仿宋" w:hAnsi="华文仿宋" w:eastAsia="华文仿宋" w:cs="华文仿宋"/>
                <w:bCs/>
                <w:sz w:val="24"/>
                <w:szCs w:val="24"/>
              </w:rPr>
              <w:t>月</w:t>
            </w:r>
            <w:r>
              <w:rPr>
                <w:rFonts w:hint="eastAsia" w:ascii="华文仿宋" w:hAnsi="华文仿宋" w:eastAsia="华文仿宋" w:cs="华文仿宋"/>
                <w:bCs/>
                <w:sz w:val="24"/>
                <w:szCs w:val="24"/>
                <w:lang w:val="en-US" w:eastAsia="zh-CN"/>
              </w:rPr>
              <w:t>13日</w:t>
            </w:r>
            <w:r>
              <w:rPr>
                <w:rFonts w:hint="eastAsia" w:ascii="华文仿宋" w:hAnsi="华文仿宋" w:eastAsia="华文仿宋" w:cs="华文仿宋"/>
                <w:bCs/>
                <w:sz w:val="24"/>
                <w:szCs w:val="24"/>
              </w:rPr>
              <w:t>，到期日（或提前终止日）至兑付日之间客户资金不计收益。</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sz w:val="24"/>
                <w:szCs w:val="24"/>
              </w:rPr>
              <w:t>如遇非工作日则顺延至其后第一个工作日，</w:t>
            </w:r>
            <w:r>
              <w:rPr>
                <w:rFonts w:hint="eastAsia" w:ascii="华文仿宋" w:hAnsi="华文仿宋" w:eastAsia="华文仿宋" w:cs="华文仿宋"/>
                <w:bCs/>
                <w:kern w:val="0"/>
                <w:sz w:val="24"/>
                <w:szCs w:val="24"/>
              </w:rPr>
              <w:t>实际产品到期日、理财运作期限受制于产品提前终止条款。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产品兑付日</w:t>
            </w:r>
          </w:p>
        </w:tc>
        <w:tc>
          <w:tcPr>
            <w:tcW w:w="8048" w:type="dxa"/>
            <w:vAlign w:val="center"/>
          </w:tcPr>
          <w:p>
            <w:pPr>
              <w:spacing w:line="400" w:lineRule="exact"/>
              <w:ind w:right="-107" w:rightChars="-51"/>
              <w:jc w:val="left"/>
              <w:rPr>
                <w:rFonts w:ascii="华文仿宋" w:hAnsi="华文仿宋" w:eastAsia="华文仿宋" w:cs="华文仿宋"/>
                <w:bCs/>
                <w:kern w:val="0"/>
                <w:sz w:val="24"/>
                <w:szCs w:val="24"/>
              </w:rPr>
            </w:pPr>
            <w:r>
              <w:rPr>
                <w:rFonts w:hint="eastAsia" w:ascii="华文仿宋" w:hAnsi="华文仿宋" w:eastAsia="华文仿宋" w:cs="华文仿宋"/>
                <w:bCs/>
                <w:sz w:val="24"/>
                <w:szCs w:val="24"/>
                <w:lang w:val="en-US" w:eastAsia="zh-CN"/>
              </w:rPr>
              <w:t>2021</w:t>
            </w:r>
            <w:r>
              <w:rPr>
                <w:rFonts w:hint="eastAsia" w:ascii="华文仿宋" w:hAnsi="华文仿宋" w:eastAsia="华文仿宋" w:cs="华文仿宋"/>
                <w:bCs/>
                <w:sz w:val="24"/>
                <w:szCs w:val="24"/>
              </w:rPr>
              <w:t xml:space="preserve">年 </w:t>
            </w:r>
            <w:r>
              <w:rPr>
                <w:rFonts w:hint="eastAsia" w:ascii="华文仿宋" w:hAnsi="华文仿宋" w:eastAsia="华文仿宋" w:cs="华文仿宋"/>
                <w:bCs/>
                <w:sz w:val="24"/>
                <w:szCs w:val="24"/>
                <w:lang w:val="en-US" w:eastAsia="zh-CN"/>
              </w:rPr>
              <w:t>10</w:t>
            </w:r>
            <w:r>
              <w:rPr>
                <w:rFonts w:hint="eastAsia" w:ascii="华文仿宋" w:hAnsi="华文仿宋" w:eastAsia="华文仿宋" w:cs="华文仿宋"/>
                <w:bCs/>
                <w:sz w:val="24"/>
                <w:szCs w:val="24"/>
              </w:rPr>
              <w:t>月</w:t>
            </w:r>
            <w:r>
              <w:rPr>
                <w:rFonts w:hint="eastAsia" w:ascii="华文仿宋" w:hAnsi="华文仿宋" w:eastAsia="华文仿宋" w:cs="华文仿宋"/>
                <w:bCs/>
                <w:sz w:val="24"/>
                <w:szCs w:val="24"/>
                <w:lang w:val="en-US" w:eastAsia="zh-CN"/>
              </w:rPr>
              <w:t>13日</w:t>
            </w:r>
            <w:r>
              <w:rPr>
                <w:rFonts w:hint="eastAsia" w:ascii="华文仿宋" w:hAnsi="华文仿宋" w:eastAsia="华文仿宋" w:cs="华文仿宋"/>
                <w:bCs/>
                <w:sz w:val="24"/>
                <w:szCs w:val="24"/>
              </w:rPr>
              <w:t>，兑付日是客户理财资金到账日，如遇非工作日则顺延至节后第一个工作日，理财资金到账时间一般情况下不晚于兑付日日终，特殊情况下可延后至兑付日下一工作日日终。如发生延后至兑付日下一工作日日终的特殊情况，新疆银行将通过各营业网点或新疆银行官方网站</w:t>
            </w:r>
            <w:r>
              <w:rPr>
                <w:rFonts w:hint="eastAsia" w:ascii="华文仿宋" w:hAnsi="华文仿宋" w:eastAsia="华文仿宋" w:cs="华文仿宋"/>
                <w:bCs/>
                <w:kern w:val="0"/>
                <w:sz w:val="24"/>
                <w:szCs w:val="24"/>
              </w:rPr>
              <w:t>（网址：www.xjbank.com）</w:t>
            </w:r>
            <w:r>
              <w:rPr>
                <w:rFonts w:hint="eastAsia" w:ascii="华文仿宋" w:hAnsi="华文仿宋" w:eastAsia="华文仿宋" w:cs="华文仿宋"/>
                <w:bCs/>
                <w:sz w:val="24"/>
                <w:szCs w:val="24"/>
              </w:rPr>
              <w:t>、新疆银行官方微信等信息渠道公告延后支付的信息。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业绩比较基准</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本产品业绩比较基准为</w:t>
            </w:r>
            <w:r>
              <w:rPr>
                <w:rFonts w:hint="eastAsia" w:ascii="华文仿宋" w:hAnsi="华文仿宋" w:eastAsia="华文仿宋" w:cs="华文仿宋"/>
                <w:bCs/>
                <w:kern w:val="0"/>
                <w:sz w:val="24"/>
                <w:szCs w:val="24"/>
                <w:lang w:val="en-US" w:eastAsia="zh-CN"/>
              </w:rPr>
              <w:t>4.25</w:t>
            </w:r>
            <w:r>
              <w:rPr>
                <w:rFonts w:hint="eastAsia" w:ascii="华文仿宋" w:hAnsi="华文仿宋" w:eastAsia="华文仿宋" w:cs="华文仿宋"/>
                <w:bCs/>
                <w:kern w:val="0"/>
                <w:sz w:val="24"/>
                <w:szCs w:val="24"/>
              </w:rPr>
              <w:t>%(年化)，业绩表现将随市场波动，具有不确定性，该业绩比较基准仅作为计算浮动管理费的依据，不构成新疆银行对产品实际投资收益率的承诺或担保，客户的实际收益由产品净值决定。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产品费用</w:t>
            </w:r>
          </w:p>
        </w:tc>
        <w:tc>
          <w:tcPr>
            <w:tcW w:w="8048" w:type="dxa"/>
            <w:vAlign w:val="center"/>
          </w:tcPr>
          <w:p>
            <w:pPr>
              <w:widowControl/>
              <w:spacing w:line="400" w:lineRule="exact"/>
              <w:ind w:right="-107" w:rightChars="-51"/>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理财产品费用包含销售管理费、产品托管费、固定管理费、浮动管理费以及按照国家规定可以列入的其他费用。</w:t>
            </w:r>
          </w:p>
          <w:p>
            <w:pPr>
              <w:widowControl/>
              <w:numPr>
                <w:ilvl w:val="0"/>
                <w:numId w:val="1"/>
              </w:numPr>
              <w:spacing w:line="400" w:lineRule="exact"/>
              <w:ind w:right="-107" w:rightChars="-51"/>
              <w:jc w:val="left"/>
              <w:rPr>
                <w:rFonts w:ascii="华文仿宋" w:hAnsi="华文仿宋" w:eastAsia="华文仿宋" w:cs="华文仿宋"/>
                <w:bCs/>
                <w:color w:val="auto"/>
                <w:kern w:val="0"/>
                <w:sz w:val="24"/>
                <w:szCs w:val="24"/>
              </w:rPr>
            </w:pPr>
            <w:r>
              <w:rPr>
                <w:rFonts w:hint="eastAsia" w:ascii="华文仿宋" w:hAnsi="华文仿宋" w:eastAsia="华文仿宋" w:cs="华文仿宋"/>
                <w:bCs/>
                <w:color w:val="auto"/>
                <w:kern w:val="0"/>
                <w:sz w:val="24"/>
                <w:szCs w:val="24"/>
              </w:rPr>
              <w:t>本产品</w:t>
            </w:r>
            <w:r>
              <w:rPr>
                <w:rFonts w:hint="eastAsia" w:ascii="华文仿宋" w:hAnsi="华文仿宋" w:eastAsia="华文仿宋" w:cs="华文仿宋"/>
                <w:bCs/>
                <w:color w:val="auto"/>
                <w:kern w:val="0"/>
                <w:sz w:val="24"/>
                <w:szCs w:val="24"/>
                <w:lang w:eastAsia="zh-CN"/>
              </w:rPr>
              <w:t>的</w:t>
            </w:r>
            <w:r>
              <w:rPr>
                <w:rFonts w:hint="eastAsia" w:ascii="华文仿宋" w:hAnsi="华文仿宋" w:eastAsia="华文仿宋" w:cs="华文仿宋"/>
                <w:bCs/>
                <w:color w:val="auto"/>
                <w:kern w:val="0"/>
                <w:sz w:val="24"/>
                <w:szCs w:val="24"/>
              </w:rPr>
              <w:t>销售管理费</w:t>
            </w:r>
            <w:r>
              <w:rPr>
                <w:rFonts w:hint="eastAsia" w:ascii="华文仿宋" w:hAnsi="华文仿宋" w:eastAsia="华文仿宋" w:cs="华文仿宋"/>
                <w:bCs/>
                <w:color w:val="auto"/>
                <w:kern w:val="0"/>
                <w:sz w:val="24"/>
                <w:szCs w:val="24"/>
                <w:lang w:val="en-US" w:eastAsia="zh-CN"/>
              </w:rPr>
              <w:t>0%/年、</w:t>
            </w:r>
            <w:r>
              <w:rPr>
                <w:rFonts w:hint="eastAsia" w:ascii="华文仿宋" w:hAnsi="华文仿宋" w:eastAsia="华文仿宋" w:cs="华文仿宋"/>
                <w:bCs/>
                <w:color w:val="auto"/>
                <w:kern w:val="0"/>
                <w:sz w:val="24"/>
                <w:szCs w:val="24"/>
                <w:lang w:eastAsia="zh-CN"/>
              </w:rPr>
              <w:t>产品</w:t>
            </w:r>
            <w:r>
              <w:rPr>
                <w:rFonts w:hint="eastAsia" w:ascii="华文仿宋" w:hAnsi="华文仿宋" w:eastAsia="华文仿宋" w:cs="华文仿宋"/>
                <w:bCs/>
                <w:color w:val="auto"/>
                <w:kern w:val="0"/>
                <w:sz w:val="24"/>
                <w:szCs w:val="24"/>
              </w:rPr>
              <w:t>托管费</w:t>
            </w:r>
            <w:r>
              <w:rPr>
                <w:rFonts w:hint="eastAsia" w:ascii="华文仿宋" w:hAnsi="华文仿宋" w:eastAsia="华文仿宋" w:cs="华文仿宋"/>
                <w:bCs/>
                <w:color w:val="auto"/>
                <w:kern w:val="0"/>
                <w:sz w:val="24"/>
                <w:szCs w:val="24"/>
                <w:lang w:val="en-US" w:eastAsia="zh-CN"/>
              </w:rPr>
              <w:t>0.01</w:t>
            </w:r>
            <w:r>
              <w:rPr>
                <w:rFonts w:hint="eastAsia" w:ascii="华文仿宋" w:hAnsi="华文仿宋" w:eastAsia="华文仿宋" w:cs="华文仿宋"/>
                <w:bCs/>
                <w:color w:val="auto"/>
                <w:kern w:val="0"/>
                <w:sz w:val="24"/>
                <w:szCs w:val="24"/>
              </w:rPr>
              <w:t>%/年、固定管理费</w:t>
            </w:r>
            <w:r>
              <w:rPr>
                <w:rFonts w:hint="eastAsia" w:ascii="华文仿宋" w:hAnsi="华文仿宋" w:eastAsia="华文仿宋" w:cs="华文仿宋"/>
                <w:bCs/>
                <w:color w:val="auto"/>
                <w:kern w:val="0"/>
                <w:sz w:val="24"/>
                <w:szCs w:val="24"/>
                <w:lang w:val="en-US" w:eastAsia="zh-CN"/>
              </w:rPr>
              <w:t>0.2</w:t>
            </w:r>
            <w:r>
              <w:rPr>
                <w:rFonts w:hint="eastAsia" w:ascii="华文仿宋" w:hAnsi="华文仿宋" w:eastAsia="华文仿宋" w:cs="华文仿宋"/>
                <w:bCs/>
                <w:color w:val="auto"/>
                <w:kern w:val="0"/>
                <w:sz w:val="24"/>
                <w:szCs w:val="24"/>
              </w:rPr>
              <w:t>%/年,按日计提，到期支付。</w:t>
            </w:r>
          </w:p>
          <w:p>
            <w:pPr>
              <w:widowControl/>
              <w:numPr>
                <w:ilvl w:val="0"/>
                <w:numId w:val="1"/>
              </w:numPr>
              <w:spacing w:line="400" w:lineRule="exact"/>
              <w:ind w:right="-107" w:rightChars="-51"/>
              <w:jc w:val="left"/>
              <w:rPr>
                <w:rFonts w:ascii="华文仿宋" w:hAnsi="华文仿宋" w:eastAsia="华文仿宋" w:cs="华文仿宋"/>
                <w:bCs/>
                <w:color w:val="auto"/>
                <w:kern w:val="0"/>
                <w:sz w:val="24"/>
                <w:szCs w:val="24"/>
              </w:rPr>
            </w:pPr>
            <w:r>
              <w:rPr>
                <w:rFonts w:hint="eastAsia" w:ascii="华文仿宋" w:hAnsi="华文仿宋" w:eastAsia="华文仿宋" w:cs="华文仿宋"/>
                <w:bCs/>
                <w:color w:val="auto"/>
                <w:kern w:val="0"/>
                <w:sz w:val="24"/>
                <w:szCs w:val="24"/>
              </w:rPr>
              <w:t>浮动管理费</w:t>
            </w:r>
            <w:r>
              <w:rPr>
                <w:rFonts w:hint="eastAsia" w:ascii="华文仿宋" w:hAnsi="华文仿宋" w:eastAsia="华文仿宋" w:cs="华文仿宋"/>
                <w:bCs/>
                <w:color w:val="auto"/>
                <w:kern w:val="0"/>
                <w:sz w:val="24"/>
                <w:szCs w:val="24"/>
                <w:lang w:eastAsia="zh-CN"/>
              </w:rPr>
              <w:t>收取</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在本</w:t>
            </w:r>
            <w:r>
              <w:rPr>
                <w:rFonts w:hint="eastAsia" w:ascii="华文仿宋" w:hAnsi="华文仿宋" w:eastAsia="华文仿宋" w:cs="华文仿宋"/>
                <w:bCs/>
                <w:color w:val="auto"/>
                <w:kern w:val="0"/>
                <w:sz w:val="24"/>
                <w:szCs w:val="24"/>
              </w:rPr>
              <w:t>产品到期日或提前终止日，剔除销售管理费、托管费、固定管理费以及产品</w:t>
            </w:r>
            <w:r>
              <w:rPr>
                <w:rFonts w:hint="eastAsia" w:ascii="华文仿宋" w:hAnsi="华文仿宋" w:eastAsia="华文仿宋" w:cs="华文仿宋"/>
                <w:bCs/>
                <w:color w:val="auto"/>
                <w:kern w:val="0"/>
                <w:sz w:val="24"/>
                <w:szCs w:val="24"/>
                <w:lang w:eastAsia="zh-CN"/>
              </w:rPr>
              <w:t>应承担</w:t>
            </w:r>
            <w:r>
              <w:rPr>
                <w:rFonts w:hint="eastAsia" w:ascii="华文仿宋" w:hAnsi="华文仿宋" w:eastAsia="华文仿宋" w:cs="华文仿宋"/>
                <w:bCs/>
                <w:color w:val="auto"/>
                <w:kern w:val="0"/>
                <w:sz w:val="24"/>
                <w:szCs w:val="24"/>
              </w:rPr>
              <w:t>的增值税</w:t>
            </w:r>
            <w:r>
              <w:rPr>
                <w:rFonts w:hint="eastAsia" w:ascii="华文仿宋" w:hAnsi="华文仿宋" w:eastAsia="华文仿宋" w:cs="华文仿宋"/>
                <w:bCs/>
                <w:color w:val="auto"/>
                <w:kern w:val="0"/>
                <w:sz w:val="24"/>
                <w:szCs w:val="24"/>
                <w:lang w:eastAsia="zh-CN"/>
              </w:rPr>
              <w:t>及其</w:t>
            </w:r>
            <w:r>
              <w:rPr>
                <w:rFonts w:hint="eastAsia" w:ascii="华文仿宋" w:hAnsi="华文仿宋" w:eastAsia="华文仿宋" w:cs="华文仿宋"/>
                <w:bCs/>
                <w:color w:val="auto"/>
                <w:kern w:val="0"/>
                <w:sz w:val="24"/>
                <w:szCs w:val="24"/>
              </w:rPr>
              <w:t>附加</w:t>
            </w:r>
            <w:r>
              <w:rPr>
                <w:rFonts w:hint="eastAsia" w:ascii="华文仿宋" w:hAnsi="华文仿宋" w:eastAsia="华文仿宋" w:cs="华文仿宋"/>
                <w:bCs/>
                <w:color w:val="auto"/>
                <w:kern w:val="0"/>
                <w:sz w:val="24"/>
                <w:szCs w:val="24"/>
                <w:lang w:eastAsia="zh-CN"/>
              </w:rPr>
              <w:t>等相关</w:t>
            </w:r>
            <w:r>
              <w:rPr>
                <w:rFonts w:hint="eastAsia" w:ascii="华文仿宋" w:hAnsi="华文仿宋" w:eastAsia="华文仿宋" w:cs="华文仿宋"/>
                <w:bCs/>
                <w:color w:val="auto"/>
                <w:kern w:val="0"/>
                <w:sz w:val="24"/>
                <w:szCs w:val="24"/>
              </w:rPr>
              <w:t>税费后</w:t>
            </w:r>
            <w:r>
              <w:rPr>
                <w:rFonts w:hint="eastAsia" w:ascii="华文仿宋" w:hAnsi="华文仿宋" w:eastAsia="华文仿宋" w:cs="华文仿宋"/>
                <w:bCs/>
                <w:color w:val="auto"/>
                <w:kern w:val="0"/>
                <w:sz w:val="24"/>
                <w:szCs w:val="24"/>
                <w:lang w:eastAsia="zh-CN"/>
              </w:rPr>
              <w:t>，投资收益</w:t>
            </w:r>
            <w:r>
              <w:rPr>
                <w:rFonts w:hint="eastAsia" w:ascii="华文仿宋" w:hAnsi="华文仿宋" w:eastAsia="华文仿宋" w:cs="华文仿宋"/>
                <w:bCs/>
                <w:color w:val="auto"/>
                <w:kern w:val="0"/>
                <w:sz w:val="24"/>
                <w:szCs w:val="24"/>
              </w:rPr>
              <w:t>超过业绩比较基准</w:t>
            </w:r>
            <w:r>
              <w:rPr>
                <w:rFonts w:hint="eastAsia" w:ascii="华文仿宋" w:hAnsi="华文仿宋" w:eastAsia="华文仿宋" w:cs="华文仿宋"/>
                <w:bCs/>
                <w:color w:val="auto"/>
                <w:kern w:val="0"/>
                <w:sz w:val="24"/>
                <w:szCs w:val="24"/>
                <w:lang w:val="en-US" w:eastAsia="zh-CN"/>
              </w:rPr>
              <w:t>4.25</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的</w:t>
            </w:r>
            <w:r>
              <w:rPr>
                <w:rFonts w:hint="eastAsia" w:ascii="华文仿宋" w:hAnsi="华文仿宋" w:eastAsia="华文仿宋" w:cs="华文仿宋"/>
                <w:bCs/>
                <w:color w:val="auto"/>
                <w:kern w:val="0"/>
                <w:sz w:val="24"/>
                <w:szCs w:val="24"/>
              </w:rPr>
              <w:t>部分</w:t>
            </w:r>
            <w:r>
              <w:rPr>
                <w:rFonts w:hint="eastAsia" w:ascii="华文仿宋" w:hAnsi="华文仿宋" w:eastAsia="华文仿宋" w:cs="华文仿宋"/>
                <w:bCs/>
                <w:color w:val="auto"/>
                <w:kern w:val="0"/>
                <w:sz w:val="24"/>
                <w:szCs w:val="24"/>
                <w:lang w:eastAsia="zh-CN"/>
              </w:rPr>
              <w:t>，</w:t>
            </w:r>
            <w:r>
              <w:rPr>
                <w:rFonts w:hint="eastAsia" w:ascii="华文仿宋" w:hAnsi="华文仿宋" w:eastAsia="华文仿宋" w:cs="华文仿宋"/>
                <w:bCs/>
                <w:color w:val="auto"/>
                <w:kern w:val="0"/>
                <w:sz w:val="24"/>
                <w:szCs w:val="24"/>
              </w:rPr>
              <w:t>管理人</w:t>
            </w:r>
            <w:r>
              <w:rPr>
                <w:rFonts w:hint="eastAsia" w:ascii="华文仿宋" w:hAnsi="华文仿宋" w:eastAsia="华文仿宋" w:cs="华文仿宋"/>
                <w:bCs/>
                <w:color w:val="auto"/>
                <w:kern w:val="0"/>
                <w:sz w:val="24"/>
                <w:szCs w:val="24"/>
                <w:lang w:eastAsia="zh-CN"/>
              </w:rPr>
              <w:t>可按照</w:t>
            </w:r>
            <w:r>
              <w:rPr>
                <w:rFonts w:hint="eastAsia" w:ascii="华文仿宋" w:hAnsi="华文仿宋" w:eastAsia="华文仿宋" w:cs="华文仿宋"/>
                <w:bCs/>
                <w:color w:val="auto"/>
                <w:kern w:val="0"/>
                <w:sz w:val="24"/>
                <w:szCs w:val="24"/>
                <w:lang w:val="en-US" w:eastAsia="zh-CN"/>
              </w:rPr>
              <w:t>95</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的比例提取浮动管理费，</w:t>
            </w:r>
            <w:r>
              <w:rPr>
                <w:rFonts w:hint="eastAsia" w:ascii="华文仿宋" w:hAnsi="华文仿宋" w:eastAsia="华文仿宋" w:cs="华文仿宋"/>
                <w:bCs/>
                <w:color w:val="auto"/>
                <w:kern w:val="0"/>
                <w:sz w:val="24"/>
                <w:szCs w:val="24"/>
              </w:rPr>
              <w:t>剩余</w:t>
            </w:r>
            <w:r>
              <w:rPr>
                <w:rFonts w:hint="eastAsia" w:ascii="华文仿宋" w:hAnsi="华文仿宋" w:eastAsia="华文仿宋" w:cs="华文仿宋"/>
                <w:bCs/>
                <w:color w:val="auto"/>
                <w:kern w:val="0"/>
                <w:sz w:val="24"/>
                <w:szCs w:val="24"/>
                <w:lang w:val="en-US" w:eastAsia="zh-CN"/>
              </w:rPr>
              <w:t>部分</w:t>
            </w:r>
            <w:r>
              <w:rPr>
                <w:rFonts w:hint="eastAsia" w:ascii="华文仿宋" w:hAnsi="华文仿宋" w:eastAsia="华文仿宋" w:cs="华文仿宋"/>
                <w:bCs/>
                <w:color w:val="auto"/>
                <w:kern w:val="0"/>
                <w:sz w:val="24"/>
                <w:szCs w:val="24"/>
              </w:rPr>
              <w:t>归客户所有。</w:t>
            </w:r>
            <w:r>
              <w:rPr>
                <w:rFonts w:hint="eastAsia" w:ascii="华文仿宋" w:hAnsi="华文仿宋" w:eastAsia="华文仿宋" w:cs="华文仿宋"/>
                <w:bCs/>
                <w:color w:val="auto"/>
                <w:kern w:val="0"/>
                <w:sz w:val="24"/>
                <w:szCs w:val="24"/>
                <w:lang w:eastAsia="zh-CN"/>
              </w:rPr>
              <w:t>如</w:t>
            </w:r>
            <w:r>
              <w:rPr>
                <w:rFonts w:hint="eastAsia" w:ascii="华文仿宋" w:hAnsi="华文仿宋" w:eastAsia="华文仿宋" w:cs="华文仿宋"/>
                <w:bCs/>
                <w:color w:val="auto"/>
                <w:kern w:val="0"/>
                <w:sz w:val="24"/>
                <w:szCs w:val="24"/>
              </w:rPr>
              <w:t>低于业绩比较基准</w:t>
            </w:r>
            <w:r>
              <w:rPr>
                <w:rFonts w:hint="eastAsia" w:ascii="华文仿宋" w:hAnsi="华文仿宋" w:eastAsia="华文仿宋" w:cs="华文仿宋"/>
                <w:bCs/>
                <w:color w:val="auto"/>
                <w:kern w:val="0"/>
                <w:sz w:val="24"/>
                <w:szCs w:val="24"/>
                <w:lang w:val="en-US" w:eastAsia="zh-CN"/>
              </w:rPr>
              <w:t>4.25</w:t>
            </w:r>
            <w:r>
              <w:rPr>
                <w:rFonts w:hint="eastAsia" w:ascii="华文仿宋" w:hAnsi="华文仿宋" w:eastAsia="华文仿宋" w:cs="华文仿宋"/>
                <w:bCs/>
                <w:color w:val="auto"/>
                <w:kern w:val="0"/>
                <w:sz w:val="24"/>
                <w:szCs w:val="24"/>
              </w:rPr>
              <w:t>%(含)</w:t>
            </w:r>
            <w:r>
              <w:rPr>
                <w:rFonts w:hint="eastAsia" w:ascii="华文仿宋" w:hAnsi="华文仿宋" w:eastAsia="华文仿宋" w:cs="华文仿宋"/>
                <w:bCs/>
                <w:color w:val="auto"/>
                <w:kern w:val="0"/>
                <w:sz w:val="24"/>
                <w:szCs w:val="24"/>
                <w:lang w:eastAsia="zh-CN"/>
              </w:rPr>
              <w:t>，不收取浮动管理费。</w:t>
            </w:r>
          </w:p>
          <w:p>
            <w:pPr>
              <w:widowControl/>
              <w:numPr>
                <w:ilvl w:val="0"/>
                <w:numId w:val="1"/>
              </w:numPr>
              <w:spacing w:line="400" w:lineRule="exact"/>
              <w:ind w:right="-107" w:rightChars="-51"/>
              <w:jc w:val="left"/>
              <w:rPr>
                <w:rFonts w:ascii="华文仿宋" w:hAnsi="华文仿宋" w:eastAsia="华文仿宋" w:cs="华文仿宋"/>
                <w:bCs/>
                <w:kern w:val="0"/>
                <w:sz w:val="24"/>
                <w:szCs w:val="24"/>
              </w:rPr>
            </w:pPr>
            <w:r>
              <w:rPr>
                <w:rFonts w:hint="eastAsia" w:ascii="华文仿宋" w:hAnsi="华文仿宋" w:eastAsia="华文仿宋" w:cs="华文仿宋"/>
                <w:bCs/>
                <w:color w:val="auto"/>
                <w:kern w:val="0"/>
                <w:sz w:val="24"/>
                <w:szCs w:val="24"/>
              </w:rPr>
              <w:t>本产品运作和清算中产生的其他资金汇划费、结算费、交易手续费、注册</w:t>
            </w:r>
            <w:r>
              <w:rPr>
                <w:rFonts w:hint="eastAsia" w:ascii="华文仿宋" w:hAnsi="华文仿宋" w:eastAsia="华文仿宋" w:cs="华文仿宋"/>
                <w:bCs/>
                <w:kern w:val="0"/>
                <w:sz w:val="24"/>
                <w:szCs w:val="24"/>
              </w:rPr>
              <w:t>登记费、信息披露费、账户服务费、审计费和律师费等，按照实际发生时从产品中列支。</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color w:val="000000"/>
                <w:kern w:val="0"/>
                <w:sz w:val="24"/>
                <w:szCs w:val="24"/>
              </w:rPr>
              <w:t>4.</w:t>
            </w:r>
            <w:r>
              <w:rPr>
                <w:rFonts w:hint="eastAsia" w:ascii="华文仿宋" w:hAnsi="华文仿宋" w:eastAsia="华文仿宋" w:cs="华文仿宋"/>
                <w:kern w:val="0"/>
                <w:sz w:val="24"/>
                <w:szCs w:val="24"/>
                <w:highlight w:val="none"/>
                <w:lang w:val="en-US" w:eastAsia="zh-CN"/>
              </w:rPr>
              <w:t>上述费用在计算客户产品单位净值前扣除，费用计提按照产品上日总净值，计息基础为实际天数/365，</w:t>
            </w:r>
            <w:r>
              <w:rPr>
                <w:rFonts w:hint="eastAsia" w:ascii="华文仿宋" w:hAnsi="华文仿宋" w:eastAsia="华文仿宋" w:cs="华文仿宋"/>
                <w:bCs/>
                <w:color w:val="000000"/>
                <w:kern w:val="0"/>
                <w:sz w:val="24"/>
                <w:szCs w:val="24"/>
              </w:rPr>
              <w:t>对于理财产品费用的费率，新疆银行有保留变更的权利。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收益支付频率</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到期时或提前终止时一次性支付。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提前终止权</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1.本理财产品不对投资者提供提前终止权，新疆银行有权在提前终止日行使提前终止权，终止此产品。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2.产品存续期内，如出现《协议》约定的情况，新疆银行有权但无义务提前终止本理财产品。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3.如果新疆银行提前终止本理财产品，新疆银行将在提前终止日2个工作日内向投资者发出提前终止公告。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工作日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国家法定工作日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对账单</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投资人同意通过新疆银行官方网站（</w:t>
            </w:r>
            <w:r>
              <w:rPr>
                <w:rFonts w:hint="eastAsia" w:ascii="华文仿宋" w:hAnsi="华文仿宋" w:eastAsia="华文仿宋" w:cs="华文仿宋"/>
                <w:bCs/>
                <w:kern w:val="0"/>
                <w:sz w:val="24"/>
                <w:szCs w:val="24"/>
              </w:rPr>
              <w:fldChar w:fldCharType="begin"/>
            </w:r>
            <w:r>
              <w:rPr>
                <w:rFonts w:hint="eastAsia" w:ascii="华文仿宋" w:hAnsi="华文仿宋" w:eastAsia="华文仿宋" w:cs="华文仿宋"/>
                <w:bCs/>
                <w:kern w:val="0"/>
                <w:sz w:val="24"/>
                <w:szCs w:val="24"/>
              </w:rPr>
              <w:instrText xml:space="preserve"> HYPERLINK "http://www.xjbank.com/" \h </w:instrText>
            </w:r>
            <w:r>
              <w:rPr>
                <w:rFonts w:hint="eastAsia" w:ascii="华文仿宋" w:hAnsi="华文仿宋" w:eastAsia="华文仿宋" w:cs="华文仿宋"/>
                <w:bCs/>
                <w:kern w:val="0"/>
                <w:sz w:val="24"/>
                <w:szCs w:val="24"/>
              </w:rPr>
              <w:fldChar w:fldCharType="separate"/>
            </w:r>
            <w:r>
              <w:rPr>
                <w:rFonts w:hint="eastAsia" w:ascii="华文仿宋" w:hAnsi="华文仿宋" w:eastAsia="华文仿宋" w:cs="华文仿宋"/>
                <w:bCs/>
                <w:kern w:val="0"/>
                <w:sz w:val="24"/>
                <w:szCs w:val="24"/>
              </w:rPr>
              <w:t>www.xjbank.com</w:t>
            </w:r>
            <w:r>
              <w:rPr>
                <w:rFonts w:hint="eastAsia" w:ascii="华文仿宋" w:hAnsi="华文仿宋" w:eastAsia="华文仿宋" w:cs="华文仿宋"/>
                <w:bCs/>
                <w:kern w:val="0"/>
                <w:sz w:val="24"/>
                <w:szCs w:val="24"/>
              </w:rPr>
              <w:fldChar w:fldCharType="end"/>
            </w:r>
            <w:r>
              <w:rPr>
                <w:rFonts w:hint="eastAsia" w:ascii="华文仿宋" w:hAnsi="华文仿宋" w:eastAsia="华文仿宋" w:cs="华文仿宋"/>
                <w:bCs/>
                <w:kern w:val="0"/>
                <w:sz w:val="24"/>
                <w:szCs w:val="24"/>
              </w:rPr>
              <w:t>）、新疆银行官方微信</w:t>
            </w:r>
            <w:r>
              <w:rPr>
                <w:rFonts w:hint="eastAsia" w:ascii="华文仿宋" w:hAnsi="华文仿宋" w:eastAsia="华文仿宋" w:cs="华文仿宋"/>
                <w:bCs/>
                <w:kern w:val="0"/>
                <w:sz w:val="24"/>
                <w:szCs w:val="24"/>
                <w:lang w:eastAsia="zh-CN"/>
              </w:rPr>
              <w:t>或</w:t>
            </w:r>
            <w:r>
              <w:rPr>
                <w:rFonts w:hint="eastAsia" w:ascii="华文仿宋" w:hAnsi="华文仿宋" w:eastAsia="华文仿宋" w:cs="华文仿宋"/>
                <w:bCs/>
                <w:kern w:val="0"/>
                <w:sz w:val="24"/>
                <w:szCs w:val="24"/>
              </w:rPr>
              <w:t>相关</w:t>
            </w:r>
            <w:r>
              <w:rPr>
                <w:rFonts w:hint="eastAsia" w:ascii="华文仿宋" w:hAnsi="华文仿宋" w:eastAsia="华文仿宋" w:cs="华文仿宋"/>
                <w:bCs/>
                <w:kern w:val="0"/>
                <w:sz w:val="24"/>
                <w:szCs w:val="24"/>
                <w:lang w:eastAsia="zh-CN"/>
              </w:rPr>
              <w:t>电子渠道及</w:t>
            </w:r>
            <w:r>
              <w:rPr>
                <w:rFonts w:hint="eastAsia" w:ascii="华文仿宋" w:hAnsi="华文仿宋" w:eastAsia="华文仿宋" w:cs="华文仿宋"/>
                <w:bCs/>
                <w:kern w:val="0"/>
                <w:sz w:val="24"/>
                <w:szCs w:val="24"/>
              </w:rPr>
              <w:t>营业网点及时了解</w:t>
            </w:r>
            <w:r>
              <w:rPr>
                <w:rFonts w:hint="eastAsia" w:ascii="华文仿宋" w:hAnsi="华文仿宋" w:eastAsia="华文仿宋" w:cs="华文仿宋"/>
                <w:bCs/>
                <w:kern w:val="0"/>
                <w:sz w:val="24"/>
                <w:szCs w:val="24"/>
                <w:lang w:eastAsia="zh-CN"/>
              </w:rPr>
              <w:t>产品</w:t>
            </w:r>
            <w:r>
              <w:rPr>
                <w:rFonts w:hint="eastAsia" w:ascii="华文仿宋" w:hAnsi="华文仿宋" w:eastAsia="华文仿宋" w:cs="华文仿宋"/>
                <w:bCs/>
                <w:kern w:val="0"/>
                <w:sz w:val="24"/>
                <w:szCs w:val="24"/>
              </w:rPr>
              <w:t>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税款</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其他规定</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本理财产品认购</w:t>
            </w:r>
            <w:r>
              <w:rPr>
                <w:rFonts w:hint="eastAsia" w:ascii="华文仿宋" w:hAnsi="华文仿宋" w:eastAsia="华文仿宋" w:cs="华文仿宋"/>
                <w:bCs/>
                <w:kern w:val="0"/>
                <w:sz w:val="24"/>
                <w:szCs w:val="24"/>
                <w:lang w:eastAsia="zh-CN"/>
              </w:rPr>
              <w:t>成功</w:t>
            </w:r>
            <w:r>
              <w:rPr>
                <w:rFonts w:hint="eastAsia" w:ascii="华文仿宋" w:hAnsi="华文仿宋" w:eastAsia="华文仿宋" w:cs="华文仿宋"/>
                <w:bCs/>
                <w:kern w:val="0"/>
                <w:sz w:val="24"/>
                <w:szCs w:val="24"/>
              </w:rPr>
              <w:t>后不得撤单。</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kern w:val="0"/>
                <w:sz w:val="24"/>
                <w:szCs w:val="24"/>
              </w:rPr>
              <w:t>本理财可以通过</w:t>
            </w:r>
            <w:r>
              <w:rPr>
                <w:rFonts w:hint="eastAsia" w:ascii="华文仿宋" w:hAnsi="华文仿宋" w:eastAsia="华文仿宋" w:cs="华文仿宋"/>
                <w:b/>
                <w:bCs/>
                <w:kern w:val="0"/>
                <w:sz w:val="24"/>
                <w:szCs w:val="24"/>
              </w:rPr>
              <w:t>营业网点、网上银行、手机银行</w:t>
            </w:r>
            <w:r>
              <w:rPr>
                <w:rFonts w:hint="eastAsia" w:ascii="华文仿宋" w:hAnsi="华文仿宋" w:eastAsia="华文仿宋" w:cs="华文仿宋"/>
                <w:kern w:val="0"/>
                <w:sz w:val="24"/>
                <w:szCs w:val="24"/>
              </w:rPr>
              <w:t>等渠道购买。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托管银行</w:t>
            </w:r>
          </w:p>
        </w:tc>
        <w:tc>
          <w:tcPr>
            <w:tcW w:w="8048" w:type="dxa"/>
            <w:vAlign w:val="center"/>
          </w:tcPr>
          <w:p>
            <w:pPr>
              <w:spacing w:line="400" w:lineRule="exact"/>
              <w:ind w:right="-107" w:rightChars="-51"/>
              <w:jc w:val="left"/>
              <w:rPr>
                <w:rFonts w:ascii="华文仿宋" w:hAnsi="华文仿宋" w:eastAsia="华文仿宋" w:cs="华文仿宋"/>
                <w:kern w:val="0"/>
                <w:sz w:val="24"/>
                <w:szCs w:val="24"/>
              </w:rPr>
            </w:pPr>
            <w:r>
              <w:rPr>
                <w:rFonts w:hint="eastAsia" w:ascii="华文仿宋" w:hAnsi="华文仿宋" w:eastAsia="华文仿宋" w:cs="华文仿宋"/>
                <w:bCs/>
                <w:kern w:val="0"/>
                <w:sz w:val="24"/>
                <w:szCs w:val="24"/>
                <w:lang w:eastAsia="zh-CN"/>
              </w:rPr>
              <w:t>宁波银行股份有限公司</w:t>
            </w:r>
          </w:p>
        </w:tc>
      </w:tr>
    </w:tbl>
    <w:p>
      <w:pPr>
        <w:spacing w:line="380" w:lineRule="exact"/>
        <w:ind w:firstLine="482" w:firstLineChars="200"/>
        <w:jc w:val="left"/>
        <w:rPr>
          <w:rFonts w:ascii="华文仿宋" w:hAnsi="华文仿宋" w:eastAsia="华文仿宋" w:cs="华文仿宋"/>
          <w:sz w:val="24"/>
          <w:szCs w:val="24"/>
        </w:rPr>
      </w:pPr>
      <w:r>
        <w:rPr>
          <w:rStyle w:val="9"/>
          <w:rFonts w:hint="eastAsia" w:ascii="华文仿宋" w:hAnsi="华文仿宋" w:eastAsia="华文仿宋" w:cs="华文仿宋"/>
          <w:kern w:val="0"/>
          <w:sz w:val="24"/>
          <w:szCs w:val="24"/>
        </w:rPr>
        <w:t>二、投资范围</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本产品募集资金投资于现金类资产、货币市场工具、标准化固定收益类资产和其他符合监管要求的资产，具体如下：</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现金类资产：包括但不限于活期存款、定期存款、协议存款等；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货币市场工具：包括但不限于质押式回购、买断式回购、交易所协议式回购等；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货币市场基金；</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固定收益类资产：包括但不限于国债、中央银行票据、同业存单、金融债、企业债、公司债、中期票据、短期融资券、超短期融资券、定向债务融资工具（PPN）、资产支持证券、资产支持票据(ABN）、</w:t>
      </w:r>
      <w:r>
        <w:rPr>
          <w:rFonts w:hint="eastAsia" w:ascii="华文仿宋" w:hAnsi="华文仿宋" w:eastAsia="华文仿宋" w:cs="华文仿宋"/>
          <w:kern w:val="0"/>
          <w:sz w:val="24"/>
          <w:szCs w:val="24"/>
          <w:lang w:eastAsia="zh-CN"/>
        </w:rPr>
        <w:t>同业借款</w:t>
      </w:r>
      <w:r>
        <w:rPr>
          <w:rFonts w:hint="eastAsia" w:ascii="华文仿宋" w:hAnsi="华文仿宋" w:eastAsia="华文仿宋" w:cs="华文仿宋"/>
          <w:kern w:val="0"/>
          <w:sz w:val="24"/>
          <w:szCs w:val="24"/>
        </w:rPr>
        <w:t>及底层资产为上述资产的各类资管计划、</w:t>
      </w:r>
      <w:r>
        <w:rPr>
          <w:rFonts w:hint="eastAsia" w:ascii="华文仿宋" w:hAnsi="华文仿宋" w:eastAsia="华文仿宋" w:cs="华文仿宋"/>
          <w:kern w:val="0"/>
          <w:sz w:val="24"/>
          <w:szCs w:val="24"/>
          <w:lang w:eastAsia="zh-CN"/>
        </w:rPr>
        <w:t>信托计划</w:t>
      </w:r>
      <w:r>
        <w:rPr>
          <w:rFonts w:hint="eastAsia" w:ascii="华文仿宋" w:hAnsi="华文仿宋" w:eastAsia="华文仿宋" w:cs="华文仿宋"/>
          <w:kern w:val="0"/>
          <w:sz w:val="24"/>
          <w:szCs w:val="24"/>
        </w:rPr>
        <w:t>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其他符合监管要求的资产；</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各类资产的投资比例为：现金类资产、货币市场工具、货币市场基金和固定收益类资产的比例为80%-100%；其他符合监管要求的资产0%-20%。</w:t>
      </w:r>
    </w:p>
    <w:p>
      <w:pPr>
        <w:pStyle w:val="16"/>
        <w:numPr>
          <w:ilvl w:val="0"/>
          <w:numId w:val="2"/>
        </w:numPr>
        <w:spacing w:line="380" w:lineRule="exact"/>
        <w:ind w:firstLineChars="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在规定的范围内运用理财资金进行投资，所投资的资产整体风险较低，投资比例可在不影响产品风险评级的前提下合理浮动。因市场变化等非因商业银行主观因素导致的变化，可能在短期内使投资比例突破上述投资比例配置限制，此时这种情况不视为违反投资比例的规定，但新疆银行将在合理期限内进行调整，使之符合投资配置策略要求。</w:t>
      </w:r>
    </w:p>
    <w:p>
      <w:pPr>
        <w:pStyle w:val="16"/>
        <w:numPr>
          <w:ilvl w:val="0"/>
          <w:numId w:val="2"/>
        </w:num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金融市场发生重大变化导致理财产品投资比例暂时超出浮动区间且可能对理财产品收益产生重大影响的，新疆银行将于两个工作日内通过官网或营业网点发布重大事项公告。</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新疆银行秉承价值投资的理念，通过资产组合管理实现本产品安全性、流动性与收益性的平衡。</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产品单位净值及份额的计算</w:t>
      </w:r>
    </w:p>
    <w:p>
      <w:pPr>
        <w:spacing w:line="38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产品资产净值是指理财产品资产总额减去负债总额后的价值。</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本理财产品单位净值=理财产品总资产净值/理财产品总份额</w:t>
      </w:r>
      <w:r>
        <w:rPr>
          <w:rFonts w:hint="eastAsia" w:ascii="华文仿宋" w:hAnsi="华文仿宋" w:eastAsia="华文仿宋" w:cs="华文仿宋"/>
          <w:b/>
          <w:bCs/>
          <w:kern w:val="0"/>
          <w:sz w:val="24"/>
          <w:szCs w:val="24"/>
          <w:lang w:eastAsia="zh-CN"/>
        </w:rPr>
        <w:t>，理财产品单位净值小数点六位后四舍五入。</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认购份额=认购金额/1元，认购份额保留至0.01份理财产品份额，小数点</w:t>
      </w:r>
      <w:r>
        <w:rPr>
          <w:rFonts w:hint="eastAsia" w:ascii="华文仿宋" w:hAnsi="华文仿宋" w:eastAsia="华文仿宋" w:cs="华文仿宋"/>
          <w:b/>
          <w:bCs/>
          <w:kern w:val="0"/>
          <w:sz w:val="24"/>
          <w:szCs w:val="24"/>
          <w:lang w:eastAsia="zh-CN"/>
        </w:rPr>
        <w:t>两位后</w:t>
      </w:r>
      <w:r>
        <w:rPr>
          <w:rFonts w:hint="eastAsia" w:ascii="华文仿宋" w:hAnsi="华文仿宋" w:eastAsia="华文仿宋" w:cs="华文仿宋"/>
          <w:b/>
          <w:bCs/>
          <w:kern w:val="0"/>
          <w:sz w:val="24"/>
          <w:szCs w:val="24"/>
        </w:rPr>
        <w:t>四舍五入。</w:t>
      </w:r>
    </w:p>
    <w:p>
      <w:pPr>
        <w:numPr>
          <w:ilvl w:val="0"/>
          <w:numId w:val="3"/>
        </w:numPr>
        <w:spacing w:line="380" w:lineRule="exact"/>
        <w:ind w:firstLine="482" w:firstLineChars="200"/>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产品的估值</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（一）估值日</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本理财产品估值日为存续期间除了周六、周日和中国法定假日的工作日。</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（二）估值对象</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本期理财产品所持有的所有资产及负债。</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（三）估值方法</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1.理财产品所投资各类资产原则上按照公允价值估值，具体估值方法如下：</w:t>
      </w:r>
    </w:p>
    <w:tbl>
      <w:tblPr>
        <w:tblStyle w:val="6"/>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9"/>
        <w:gridCol w:w="3405"/>
        <w:gridCol w:w="4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tcPr>
          <w:p/>
        </w:tc>
        <w:tc>
          <w:tcPr>
            <w:tcW w:w="3405" w:type="dxa"/>
          </w:tcPr>
          <w:p/>
        </w:tc>
        <w:tc>
          <w:tcPr>
            <w:tcW w:w="4808"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银行存款</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以本金列示，逐日计提利息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货币基金</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以当日基金净值估值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一年内同业存单或债券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债券类</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债权类项目</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存在并可以确定公允价值的以公允价值计算，否则按取得时的成本按摊余成本法计算</w:t>
            </w:r>
          </w:p>
        </w:tc>
      </w:tr>
    </w:tbl>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2.国家有最新规定的，按其规定进行估值。</w:t>
      </w:r>
    </w:p>
    <w:p>
      <w:p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3.产品管理人和产品托管人将采取必要、适当合理的措施确保产品资产估值的准确性、及时性。在任何情况下，产品管理人与托管人所共同认可的估值方法均视为客观、公允的估值方法。该产品估值均以产品公布的估值结果为准。</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b/>
          <w:bCs/>
          <w:kern w:val="0"/>
          <w:sz w:val="24"/>
          <w:szCs w:val="24"/>
        </w:rPr>
        <w:t xml:space="preserve">   （四）暂停估值</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当产品资产的估值因不可抗力或其他情形致使产品管理人、产品托管人无法准确评估产品资产价值或监管部门认定的其他情形时，理财产品管理人可暂停产品的估值直至另行通知。</w:t>
      </w:r>
    </w:p>
    <w:p>
      <w:pPr>
        <w:spacing w:line="380" w:lineRule="exact"/>
        <w:ind w:firstLine="482" w:firstLineChars="200"/>
        <w:jc w:val="left"/>
        <w:rPr>
          <w:rFonts w:ascii="华文仿宋" w:hAnsi="华文仿宋" w:eastAsia="华文仿宋" w:cs="华文仿宋"/>
          <w:b/>
          <w:bCs/>
          <w:sz w:val="24"/>
          <w:szCs w:val="24"/>
        </w:rPr>
      </w:pPr>
      <w:r>
        <w:rPr>
          <w:rFonts w:hint="eastAsia" w:ascii="华文仿宋" w:hAnsi="华文仿宋" w:eastAsia="华文仿宋" w:cs="华文仿宋"/>
          <w:b/>
          <w:bCs/>
          <w:sz w:val="24"/>
          <w:szCs w:val="24"/>
        </w:rPr>
        <w:t>五、理财产品费用及收益</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kern w:val="0"/>
          <w:sz w:val="24"/>
          <w:szCs w:val="24"/>
        </w:rPr>
        <w:t>1.声明</w:t>
      </w:r>
      <w:r>
        <w:rPr>
          <w:rStyle w:val="13"/>
          <w:rFonts w:hint="default" w:ascii="华文仿宋" w:hAnsi="华文仿宋" w:eastAsia="华文仿宋" w:cs="华文仿宋"/>
          <w:sz w:val="24"/>
          <w:szCs w:val="24"/>
        </w:rPr>
        <w:br w:type="textWrapping"/>
      </w:r>
      <w:r>
        <w:rPr>
          <w:rFonts w:hint="eastAsia" w:ascii="华文仿宋" w:hAnsi="华文仿宋" w:eastAsia="华文仿宋" w:cs="华文仿宋"/>
          <w:kern w:val="0"/>
          <w:sz w:val="24"/>
          <w:szCs w:val="24"/>
        </w:rPr>
        <w:t>理财产品过往业绩不代表其未来表现，不等于理财产品实际收益，投资需谨慎。投资者按其本金占该产品项下所有募集资金的比例和合同文件约定的收益分配方式，获得相应比例的收益。投资者所能获得的最终收益以新疆银行根据理财产品说明书有关条款支付给客户的实际金额为准。</w:t>
      </w:r>
      <w:r>
        <w:rPr>
          <w:rFonts w:hint="eastAsia" w:ascii="华文仿宋" w:hAnsi="华文仿宋" w:eastAsia="华文仿宋" w:cs="华文仿宋"/>
          <w:kern w:val="0"/>
          <w:sz w:val="24"/>
          <w:szCs w:val="24"/>
        </w:rPr>
        <w:br w:type="textWrapping"/>
      </w:r>
      <w:r>
        <w:rPr>
          <w:rFonts w:hint="eastAsia" w:ascii="华文仿宋" w:hAnsi="华文仿宋" w:eastAsia="华文仿宋" w:cs="华文仿宋"/>
          <w:kern w:val="0"/>
          <w:sz w:val="24"/>
          <w:szCs w:val="24"/>
        </w:rPr>
        <w:t xml:space="preserve">    2.收益测算方法及测算依据</w:t>
      </w:r>
      <w:r>
        <w:rPr>
          <w:rStyle w:val="13"/>
          <w:rFonts w:hint="default" w:ascii="华文仿宋" w:hAnsi="华文仿宋" w:eastAsia="华文仿宋" w:cs="华文仿宋"/>
          <w:sz w:val="24"/>
          <w:szCs w:val="24"/>
        </w:rPr>
        <w:br w:type="textWrapping"/>
      </w:r>
      <w:r>
        <w:rPr>
          <w:rStyle w:val="14"/>
          <w:rFonts w:hint="eastAsia" w:ascii="华文仿宋" w:hAnsi="华文仿宋" w:eastAsia="华文仿宋" w:cs="华文仿宋"/>
          <w:sz w:val="24"/>
          <w:szCs w:val="24"/>
        </w:rPr>
        <w:t>（</w:t>
      </w:r>
      <w:r>
        <w:rPr>
          <w:rFonts w:hint="eastAsia" w:ascii="华文仿宋" w:hAnsi="华文仿宋" w:eastAsia="华文仿宋" w:cs="华文仿宋"/>
          <w:bCs/>
          <w:kern w:val="0"/>
          <w:sz w:val="24"/>
          <w:szCs w:val="24"/>
        </w:rPr>
        <w:t>以产品业绩比较基准 4.85%，期限 368 天,浮动管理费收取 80%为例）</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 xml:space="preserve"> 情景一：</w:t>
      </w:r>
      <w:r>
        <w:rPr>
          <w:rFonts w:hint="eastAsia" w:ascii="华文仿宋" w:hAnsi="华文仿宋" w:eastAsia="华文仿宋" w:cs="华文仿宋"/>
          <w:bCs/>
          <w:kern w:val="0"/>
          <w:sz w:val="24"/>
          <w:szCs w:val="24"/>
        </w:rPr>
        <w:t>扣除认购费、销售管理费、托管费、固定管理费后，收益率超过业绩比较基准。</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 xml:space="preserve"> 以某客户投资 10 万元为例，购买时产品净值为 1.00 元，折算份额为 100,000.00 份。产品到期时，若客户持有的份额依然为 100,000.00 份（即存续中未发生提前终止），扣除销售管理费、托管费、固定管理费后、如产品净值为 1.051，此时，（ 1.051/1.00-1）×365/368=5.06%&gt;4.85%，即投资收益超过业绩比较基准，则投资管理人对超过业绩比较基准部分收取浮动管理费</w:t>
      </w:r>
      <w:r>
        <w:rPr>
          <w:rFonts w:hint="eastAsia" w:ascii="华文仿宋" w:hAnsi="华文仿宋" w:eastAsia="华文仿宋" w:cs="华文仿宋"/>
          <w:bCs/>
          <w:kern w:val="0"/>
          <w:sz w:val="24"/>
          <w:szCs w:val="24"/>
          <w:lang w:val="en-US" w:eastAsia="zh-CN"/>
        </w:rPr>
        <w:t>.</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浮动管理费为：</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100,000.00×[1.051-1.00×(1+4.85%×368/365)]×80%=168.11(元)</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扣除浮动管理费后，客户最终收益为：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 1.051-1.00） - 168.11= 4,931.89（元），产品到期时，客户获得的实际收益相当于达到年化收益率水平为： 4,931.89/100,000.00×365/368 =4.89%。</w:t>
      </w:r>
    </w:p>
    <w:p>
      <w:pPr>
        <w:wordWrap w:val="0"/>
        <w:spacing w:before="75" w:after="75" w:line="380" w:lineRule="exact"/>
        <w:jc w:val="left"/>
      </w:pPr>
      <w:r>
        <w:rPr>
          <w:rFonts w:hint="eastAsia" w:ascii="华文仿宋" w:hAnsi="华文仿宋" w:eastAsia="华文仿宋" w:cs="华文仿宋"/>
          <w:b/>
          <w:kern w:val="0"/>
          <w:sz w:val="24"/>
          <w:szCs w:val="24"/>
        </w:rPr>
        <w:t>情景二：</w:t>
      </w:r>
      <w:r>
        <w:rPr>
          <w:rFonts w:hint="eastAsia" w:ascii="华文仿宋" w:hAnsi="华文仿宋" w:eastAsia="华文仿宋" w:cs="华文仿宋"/>
          <w:bCs/>
          <w:kern w:val="0"/>
          <w:sz w:val="24"/>
          <w:szCs w:val="24"/>
        </w:rPr>
        <w:t>扣除销售管理费、托管费、固定管理费后，投资收益未达到业绩比较基准。</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以某客户投资10万元为例，购买时产品净值为1.00元，折算份额为100,000.00份。产品到期时，若客户持有的份额依然为100,000.00份（即存续期中未发生提前终止），扣除销售管理费、托管费、固定管理费后，如产品净值为1.0476，此时， (1.0476/1.00-1)×365/368 = 4.72%&lt;4.85%，即投资收益未达到业绩比较基准，则投资管理人不收取浮动管理费，客户最终收益为：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100,000.00×(1.0476-1.00） = 4,760.00（元）</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情景三：</w:t>
      </w:r>
      <w:r>
        <w:rPr>
          <w:rFonts w:ascii="华文仿宋" w:hAnsi="华文仿宋" w:eastAsia="华文仿宋" w:cs="华文仿宋"/>
          <w:color w:val="000000"/>
          <w:kern w:val="0"/>
          <w:sz w:val="24"/>
          <w:szCs w:val="24"/>
        </w:rPr>
        <w:t>最不利情况，扣销售管理费、托管费、固定管理费后，投资发生亏损。</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客户最终收益为：</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100,000.00×（ 0.99-1.00） = -1000（元）</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（测算收益不等于实际收益，投资须谨慎）</w:t>
      </w:r>
    </w:p>
    <w:p>
      <w:pPr>
        <w:spacing w:line="380" w:lineRule="exact"/>
        <w:ind w:firstLine="482" w:firstLineChars="200"/>
        <w:jc w:val="left"/>
        <w:rPr>
          <w:rFonts w:ascii="华文仿宋" w:hAnsi="华文仿宋" w:eastAsia="华文仿宋" w:cs="华文仿宋"/>
          <w:sz w:val="24"/>
          <w:szCs w:val="24"/>
        </w:rPr>
      </w:pPr>
      <w:r>
        <w:rPr>
          <w:rStyle w:val="9"/>
          <w:rFonts w:hint="eastAsia" w:ascii="华文仿宋" w:hAnsi="华文仿宋" w:eastAsia="华文仿宋" w:cs="华文仿宋"/>
          <w:kern w:val="0"/>
          <w:sz w:val="24"/>
          <w:szCs w:val="24"/>
        </w:rPr>
        <w:t xml:space="preserve">六、产品提前终止 </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1、若在募集期届满之前募集资金已经达到产品募集上限，新疆银行有权提前结束募集并提前成立该理财产品，产品提前成立时银行将调整成立日期，并</w:t>
      </w:r>
      <w:r>
        <w:rPr>
          <w:rFonts w:hint="eastAsia" w:ascii="华文仿宋" w:hAnsi="华文仿宋" w:eastAsia="华文仿宋" w:cs="华文仿宋"/>
          <w:bCs/>
          <w:sz w:val="24"/>
          <w:szCs w:val="24"/>
        </w:rPr>
        <w:t>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在理财产品投资运作期间内，客户无权要求提前终止该理财产品；当相关政策出现重大调整、市场出现剧烈波动、投资标的提前到期或发生其他新疆银行认为需要提前终止本理财产品等情况，银行有权部分或全部提前终止该款该期理财产品。当银行决定提前终止本产品时，将在提前终止日前两个工作日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提前终止日后将客户理财资金及理财收益（如有）划入客户理财账户，划付信息以新疆银行官方网站（www.xjbank.com）、新疆银行官方微信或银行认为适当的其他方式、地点进行公布为准。提前终止日（含当日）至资金实际到账日之间，客户资金不计息。</w:t>
      </w:r>
    </w:p>
    <w:p>
      <w:pPr>
        <w:widowControl/>
        <w:spacing w:line="400" w:lineRule="exact"/>
        <w:ind w:firstLine="482" w:firstLineChars="200"/>
        <w:jc w:val="left"/>
        <w:rPr>
          <w:rFonts w:ascii="华文仿宋" w:hAnsi="华文仿宋" w:eastAsia="华文仿宋" w:cs="华文仿宋"/>
          <w:bCs/>
          <w:color w:val="000000"/>
          <w:kern w:val="0"/>
          <w:sz w:val="24"/>
          <w:szCs w:val="24"/>
          <w:lang w:val="en-US" w:eastAsia="zh-CN" w:bidi="ar"/>
        </w:rPr>
      </w:pPr>
      <w:r>
        <w:rPr>
          <w:rStyle w:val="9"/>
          <w:rFonts w:hint="eastAsia" w:ascii="华文仿宋" w:hAnsi="华文仿宋" w:eastAsia="华文仿宋" w:cs="华文仿宋"/>
          <w:kern w:val="0"/>
          <w:sz w:val="24"/>
          <w:szCs w:val="24"/>
        </w:rPr>
        <w:t>七、信息披露</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ascii="华文仿宋" w:hAnsi="华文仿宋" w:eastAsia="华文仿宋" w:cs="华文仿宋"/>
          <w:bCs/>
          <w:color w:val="000000"/>
          <w:kern w:val="0"/>
          <w:sz w:val="24"/>
          <w:szCs w:val="24"/>
          <w:lang w:val="en-US" w:eastAsia="zh-CN" w:bidi="ar"/>
        </w:rPr>
        <w:t>新疆银行通过新疆银行官方网站（</w:t>
      </w:r>
      <w:r>
        <w:rPr>
          <w:rFonts w:hint="eastAsia" w:ascii="华文仿宋" w:hAnsi="华文仿宋" w:eastAsia="华文仿宋" w:cs="华文仿宋"/>
          <w:bCs/>
          <w:color w:val="000000"/>
          <w:kern w:val="0"/>
          <w:sz w:val="24"/>
          <w:szCs w:val="24"/>
          <w:lang w:val="en-US" w:eastAsia="zh-CN" w:bidi="ar"/>
        </w:rPr>
        <w:t>www.xjbank.com）、官方微信或银行认为适当的其他方式、地点披露产品以下相关信息：</w:t>
      </w:r>
      <w:r>
        <w:rPr>
          <w:rFonts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bookmarkStart w:id="0" w:name="_GoBack"/>
      <w:bookmarkEnd w:id="0"/>
      <w:r>
        <w:rPr>
          <w:rFonts w:hint="eastAsia" w:ascii="华文仿宋" w:hAnsi="华文仿宋" w:eastAsia="华文仿宋" w:cs="华文仿宋"/>
          <w:bCs/>
          <w:color w:val="000000"/>
          <w:kern w:val="0"/>
          <w:sz w:val="24"/>
          <w:szCs w:val="24"/>
          <w:lang w:val="en-US" w:eastAsia="zh-CN" w:bidi="ar"/>
        </w:rPr>
        <w:t>1.在产品正常成立、产品终止的5个工作日内发布产品成立、产品终止信息，发生对产品重大影响之情形后的2个工作日内发布重大影响事件等信息；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eastAsia="zh-CN" w:bidi="ar"/>
        </w:rPr>
      </w:pPr>
      <w:r>
        <w:rPr>
          <w:rFonts w:hint="eastAsia" w:ascii="华文仿宋" w:hAnsi="华文仿宋" w:eastAsia="华文仿宋" w:cs="华文仿宋"/>
          <w:bCs/>
          <w:color w:val="000000"/>
          <w:kern w:val="0"/>
          <w:sz w:val="24"/>
          <w:szCs w:val="24"/>
          <w:lang w:val="en-US" w:eastAsia="zh-CN" w:bidi="ar"/>
        </w:rPr>
        <w:t>2.在本产品存续期内，每周三公布前一个工作日产品单位净值，遇中国法定节假日则顺延至下一个工作日；</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hint="eastAsia" w:ascii="华文仿宋" w:hAnsi="华文仿宋" w:eastAsia="华文仿宋" w:cs="华文仿宋"/>
          <w:bCs/>
          <w:color w:val="000000"/>
          <w:kern w:val="0"/>
          <w:sz w:val="24"/>
          <w:szCs w:val="24"/>
          <w:lang w:val="en-US" w:eastAsia="zh-CN" w:bidi="ar"/>
        </w:rPr>
        <w:t>3.</w:t>
      </w:r>
      <w:r>
        <w:rPr>
          <w:rFonts w:hint="eastAsia" w:ascii="华文仿宋" w:hAnsi="华文仿宋" w:eastAsia="华文仿宋" w:cs="华文仿宋"/>
          <w:bCs/>
          <w:kern w:val="0"/>
          <w:sz w:val="24"/>
          <w:szCs w:val="24"/>
        </w:rPr>
        <w:t>新疆银行将在每个季度结束之日起15日内、上半年结束之日起60日内、每年结束之日起90日内发布理财产品的季度、半年和年度报告等定期报告，</w:t>
      </w:r>
      <w:r>
        <w:rPr>
          <w:rFonts w:hint="eastAsia" w:ascii="华文仿宋" w:hAnsi="华文仿宋" w:eastAsia="华文仿宋" w:cs="华文仿宋"/>
          <w:bCs/>
          <w:kern w:val="0"/>
          <w:sz w:val="24"/>
          <w:szCs w:val="24"/>
          <w:lang w:eastAsia="zh-CN"/>
        </w:rPr>
        <w:t>向投资人披露投资状况、投资表现、风险状况等信息；</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auto"/>
          <w:kern w:val="0"/>
          <w:sz w:val="24"/>
          <w:szCs w:val="24"/>
          <w:lang w:val="en-US"/>
        </w:rPr>
      </w:pPr>
      <w:r>
        <w:rPr>
          <w:rFonts w:hint="eastAsia" w:ascii="华文仿宋" w:hAnsi="华文仿宋" w:eastAsia="华文仿宋" w:cs="华文仿宋"/>
          <w:color w:val="000000"/>
          <w:kern w:val="0"/>
          <w:sz w:val="24"/>
          <w:szCs w:val="24"/>
          <w:lang w:val="en-US" w:eastAsia="zh-CN" w:bidi="ar"/>
        </w:rPr>
        <w:t>4.</w:t>
      </w:r>
      <w:r>
        <w:rPr>
          <w:rFonts w:hint="eastAsia" w:ascii="华文仿宋" w:hAnsi="华文仿宋" w:eastAsia="华文仿宋" w:cs="华文仿宋"/>
          <w:bCs/>
          <w:color w:val="000000"/>
          <w:kern w:val="0"/>
          <w:sz w:val="24"/>
          <w:szCs w:val="24"/>
          <w:lang w:val="en-US" w:eastAsia="zh-CN" w:bidi="ar"/>
        </w:rPr>
        <w:t>新疆银行将在国家有关法律法规允许、理财协议约定的范围内进行投资运作。本产品如因市场变化、未达到或超过计划募集金额等因素</w:t>
      </w:r>
      <w:r>
        <w:rPr>
          <w:rFonts w:hint="eastAsia" w:ascii="华文仿宋" w:hAnsi="华文仿宋" w:eastAsia="华文仿宋" w:cs="华文仿宋"/>
          <w:bCs/>
          <w:color w:val="auto"/>
          <w:kern w:val="0"/>
          <w:sz w:val="24"/>
          <w:szCs w:val="24"/>
          <w:lang w:val="en-US" w:eastAsia="zh-CN" w:bidi="ar"/>
        </w:rPr>
        <w:t>，</w:t>
      </w:r>
      <w:r>
        <w:rPr>
          <w:rFonts w:hint="eastAsia" w:ascii="华文仿宋" w:hAnsi="华文仿宋" w:eastAsia="华文仿宋" w:cs="华文仿宋"/>
          <w:bCs/>
          <w:color w:val="auto"/>
          <w:kern w:val="0"/>
          <w:sz w:val="24"/>
          <w:szCs w:val="24"/>
          <w:highlight w:val="none"/>
          <w:lang w:val="en-US" w:eastAsia="zh-CN" w:bidi="ar"/>
        </w:rPr>
        <w:t>投资比例可在不影响产品风险评级的前提下合理浮动，</w:t>
      </w:r>
      <w:r>
        <w:rPr>
          <w:rFonts w:hint="eastAsia" w:ascii="华文仿宋" w:hAnsi="华文仿宋" w:eastAsia="华文仿宋" w:cs="华文仿宋"/>
          <w:bCs/>
          <w:color w:val="auto"/>
          <w:kern w:val="0"/>
          <w:sz w:val="24"/>
          <w:szCs w:val="24"/>
          <w:lang w:val="en-US" w:eastAsia="zh-CN" w:bidi="ar"/>
        </w:rPr>
        <w:t>若投资比例超出产品合理的浮动区间，我行将根据有关规定予以披露；</w:t>
      </w:r>
      <w:r>
        <w:rPr>
          <w:rFonts w:hint="default" w:ascii="sans serif" w:hAnsi="sans serif" w:eastAsia="sans serif" w:cs="sans serif"/>
          <w:color w:val="auto"/>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color w:val="000000"/>
          <w:sz w:val="24"/>
          <w:szCs w:val="24"/>
          <w:lang w:val="en-US"/>
        </w:rPr>
      </w:pPr>
      <w:r>
        <w:rPr>
          <w:rFonts w:hint="eastAsia" w:ascii="华文仿宋" w:hAnsi="华文仿宋" w:eastAsia="华文仿宋" w:cs="华文仿宋"/>
          <w:bCs/>
          <w:color w:val="auto"/>
          <w:kern w:val="0"/>
          <w:sz w:val="24"/>
          <w:szCs w:val="24"/>
          <w:lang w:val="en-US" w:eastAsia="zh-CN" w:bidi="ar"/>
        </w:rPr>
        <w:t>5.若发生理财产品不成立、变更募集期、提前终止、延期终止等情况，我行</w:t>
      </w:r>
      <w:r>
        <w:rPr>
          <w:rFonts w:hint="eastAsia" w:ascii="华文仿宋" w:hAnsi="华文仿宋" w:eastAsia="华文仿宋" w:cs="华文仿宋"/>
          <w:bCs/>
          <w:color w:val="000000"/>
          <w:kern w:val="0"/>
          <w:sz w:val="24"/>
          <w:szCs w:val="24"/>
          <w:lang w:val="en-US" w:eastAsia="zh-CN" w:bidi="ar"/>
        </w:rPr>
        <w:t>将按照法律法规及监管规范进行披露，</w:t>
      </w:r>
      <w:r>
        <w:rPr>
          <w:rStyle w:val="9"/>
          <w:rFonts w:hint="eastAsia" w:ascii="华文仿宋" w:hAnsi="华文仿宋" w:eastAsia="华文仿宋" w:cs="华文仿宋"/>
          <w:bCs/>
          <w:color w:val="000000"/>
          <w:kern w:val="0"/>
          <w:sz w:val="24"/>
          <w:szCs w:val="24"/>
          <w:lang w:val="en-US" w:eastAsia="zh-CN" w:bidi="ar"/>
        </w:rPr>
        <w:t>该等披露，视为银行已向客户完全履行信息披露义务。客户承诺将及时接收、浏览和阅读该等信息；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2" w:firstLineChars="200"/>
        <w:jc w:val="left"/>
      </w:pPr>
      <w:r>
        <w:rPr>
          <w:rStyle w:val="9"/>
          <w:rFonts w:hint="eastAsia" w:ascii="华文仿宋" w:hAnsi="华文仿宋" w:eastAsia="华文仿宋" w:cs="华文仿宋"/>
          <w:color w:val="000000"/>
          <w:kern w:val="0"/>
          <w:sz w:val="24"/>
          <w:szCs w:val="24"/>
          <w:lang w:val="en-US" w:eastAsia="zh-CN" w:bidi="ar"/>
        </w:rPr>
        <w:t>6.如因国家法律法规、监管规定发生变化，或是出于维护本产品正常运营的需要，在不损害客户利益的前提下，新疆银行有权单方对本产品说明书进行修订，并提前2个工作日进行信息披露。</w:t>
      </w:r>
    </w:p>
    <w:p>
      <w:pPr>
        <w:widowControl/>
        <w:spacing w:line="400" w:lineRule="exact"/>
        <w:ind w:firstLine="482" w:firstLineChars="200"/>
        <w:jc w:val="left"/>
        <w:rPr>
          <w:rStyle w:val="9"/>
          <w:rFonts w:hint="eastAsia" w:ascii="华文仿宋" w:hAnsi="华文仿宋" w:eastAsia="华文仿宋" w:cs="华文仿宋"/>
          <w:kern w:val="0"/>
          <w:sz w:val="24"/>
          <w:szCs w:val="24"/>
        </w:rPr>
      </w:pPr>
    </w:p>
    <w:p>
      <w:pPr>
        <w:spacing w:line="380" w:lineRule="exact"/>
        <w:ind w:firstLine="480" w:firstLineChars="200"/>
        <w:jc w:val="left"/>
        <w:rPr>
          <w:rFonts w:ascii="华文仿宋" w:hAnsi="华文仿宋" w:eastAsia="华文仿宋" w:cs="华文仿宋"/>
          <w:sz w:val="24"/>
          <w:szCs w:val="24"/>
        </w:rPr>
      </w:pPr>
    </w:p>
    <w:sectPr>
      <w:headerReference r:id="rId3" w:type="default"/>
      <w:footerReference r:id="rId4" w:type="default"/>
      <w:pgSz w:w="11906" w:h="16838"/>
      <w:pgMar w:top="1440" w:right="1134" w:bottom="1440" w:left="113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sans serif">
    <w:altName w:val="Segoe Print"/>
    <w:panose1 w:val="00000000000000000000"/>
    <w:charset w:val="00"/>
    <w:family w:val="auto"/>
    <w:pitch w:val="default"/>
    <w:sig w:usb0="00000000" w:usb1="00000000" w:usb2="00000000" w:usb3="00000000" w:csb0="00000000" w:csb1="00000000"/>
  </w:font>
  <w:font w:name="方正大黑简体">
    <w:panose1 w:val="02010601030101010101"/>
    <w:charset w:val="86"/>
    <w:family w:val="auto"/>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994916"/>
    </w:sdtPr>
    <w:sdtContent>
      <w:p>
        <w:pPr>
          <w:pStyle w:val="3"/>
          <w:jc w:val="right"/>
        </w:pPr>
        <w:r>
          <w:fldChar w:fldCharType="begin"/>
        </w:r>
        <w:r>
          <w:instrText xml:space="preserve"> PAGE   \* MERGEFORMAT </w:instrText>
        </w:r>
        <w:r>
          <w:fldChar w:fldCharType="separate"/>
        </w:r>
        <w:r>
          <w:rPr>
            <w:lang w:val="zh-CN"/>
          </w:rPr>
          <w:t>-</w:t>
        </w:r>
        <w:r>
          <w:t xml:space="preserve"> 5 -</w:t>
        </w:r>
        <w:r>
          <w:fldChar w:fldCharType="end"/>
        </w:r>
      </w:p>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0"/>
      </w:pBdr>
      <w:jc w:val="left"/>
      <w:rPr>
        <w:sz w:val="24"/>
        <w:szCs w:val="24"/>
      </w:rPr>
    </w:pPr>
    <w:r>
      <w:rPr>
        <w:rFonts w:ascii="方正大黑简体" w:hAnsi="宋体" w:eastAsia="方正大黑简体" w:cs="宋体"/>
        <w:b/>
        <w:bCs/>
        <w:kern w:val="0"/>
        <w:sz w:val="24"/>
        <w:szCs w:val="24"/>
      </w:rPr>
      <w:drawing>
        <wp:anchor distT="0" distB="0" distL="114300" distR="114300" simplePos="0" relativeHeight="1024" behindDoc="0" locked="0" layoutInCell="1" allowOverlap="1">
          <wp:simplePos x="0" y="0"/>
          <wp:positionH relativeFrom="column">
            <wp:posOffset>19050</wp:posOffset>
          </wp:positionH>
          <wp:positionV relativeFrom="paragraph">
            <wp:posOffset>-152400</wp:posOffset>
          </wp:positionV>
          <wp:extent cx="1857375" cy="361950"/>
          <wp:effectExtent l="0" t="0" r="9525" b="0"/>
          <wp:wrapNone/>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
                    <a:grayscl/>
                    <a:lum bright="-10001" contrast="40000"/>
                  </a:blip>
                  <a:stretch>
                    <a:fillRect/>
                  </a:stretch>
                </pic:blipFill>
                <pic:spPr>
                  <a:xfrm>
                    <a:off x="0" y="0"/>
                    <a:ext cx="1857375" cy="361950"/>
                  </a:xfrm>
                  <a:prstGeom prst="rect">
                    <a:avLst/>
                  </a:prstGeom>
                  <a:noFill/>
                  <a:ln w="9525">
                    <a:noFill/>
                  </a:ln>
                </pic:spPr>
              </pic:pic>
            </a:graphicData>
          </a:graphic>
        </wp:anchor>
      </w:drawing>
    </w:r>
    <w:r>
      <w:rPr>
        <w:rStyle w:val="9"/>
        <w:rFonts w:hint="eastAsia" w:ascii="方正大黑简体" w:hAnsi="宋体" w:eastAsia="方正大黑简体" w:cs="宋体"/>
        <w:kern w:val="0"/>
        <w:sz w:val="24"/>
        <w:szCs w:val="24"/>
      </w:rPr>
      <w:t xml:space="preserve">                                                        封闭净值型（固定收益类）</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2C9455"/>
    <w:multiLevelType w:val="singleLevel"/>
    <w:tmpl w:val="5C2C9455"/>
    <w:lvl w:ilvl="0" w:tentative="0">
      <w:start w:val="1"/>
      <w:numFmt w:val="decimal"/>
      <w:suff w:val="nothing"/>
      <w:lvlText w:val="%1."/>
      <w:lvlJc w:val="left"/>
    </w:lvl>
  </w:abstractNum>
  <w:abstractNum w:abstractNumId="1">
    <w:nsid w:val="5C35F0C3"/>
    <w:multiLevelType w:val="singleLevel"/>
    <w:tmpl w:val="5C35F0C3"/>
    <w:lvl w:ilvl="0" w:tentative="0">
      <w:start w:val="3"/>
      <w:numFmt w:val="chineseCounting"/>
      <w:suff w:val="nothing"/>
      <w:lvlText w:val="%1、"/>
      <w:lvlJc w:val="left"/>
    </w:lvl>
  </w:abstractNum>
  <w:abstractNum w:abstractNumId="2">
    <w:nsid w:val="5C6F874A"/>
    <w:multiLevelType w:val="singleLevel"/>
    <w:tmpl w:val="5C6F874A"/>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77B7"/>
    <w:rsid w:val="000054E7"/>
    <w:rsid w:val="000134A8"/>
    <w:rsid w:val="00017B1C"/>
    <w:rsid w:val="00027925"/>
    <w:rsid w:val="00036F50"/>
    <w:rsid w:val="00056CA6"/>
    <w:rsid w:val="00057C51"/>
    <w:rsid w:val="000620AE"/>
    <w:rsid w:val="00065CD0"/>
    <w:rsid w:val="000744A6"/>
    <w:rsid w:val="000877B1"/>
    <w:rsid w:val="000A6C1E"/>
    <w:rsid w:val="000B647E"/>
    <w:rsid w:val="000C341B"/>
    <w:rsid w:val="000C3A55"/>
    <w:rsid w:val="000D1591"/>
    <w:rsid w:val="000D2E2E"/>
    <w:rsid w:val="000D6D0B"/>
    <w:rsid w:val="000F1BB9"/>
    <w:rsid w:val="00102678"/>
    <w:rsid w:val="00103E2A"/>
    <w:rsid w:val="00104FB7"/>
    <w:rsid w:val="001057CE"/>
    <w:rsid w:val="00122767"/>
    <w:rsid w:val="00127654"/>
    <w:rsid w:val="00160D76"/>
    <w:rsid w:val="00160FA4"/>
    <w:rsid w:val="001832E7"/>
    <w:rsid w:val="001877B7"/>
    <w:rsid w:val="00192035"/>
    <w:rsid w:val="001B0A1B"/>
    <w:rsid w:val="001E35B6"/>
    <w:rsid w:val="001E6FD6"/>
    <w:rsid w:val="0023169C"/>
    <w:rsid w:val="00242CE0"/>
    <w:rsid w:val="00250CBC"/>
    <w:rsid w:val="002638B7"/>
    <w:rsid w:val="00265CED"/>
    <w:rsid w:val="00274D7C"/>
    <w:rsid w:val="002766C7"/>
    <w:rsid w:val="00291CAD"/>
    <w:rsid w:val="002A0F54"/>
    <w:rsid w:val="002B0232"/>
    <w:rsid w:val="002B4D56"/>
    <w:rsid w:val="002B5435"/>
    <w:rsid w:val="002B6B3F"/>
    <w:rsid w:val="002C1170"/>
    <w:rsid w:val="002C22E2"/>
    <w:rsid w:val="002C2B19"/>
    <w:rsid w:val="002C667B"/>
    <w:rsid w:val="002E5D96"/>
    <w:rsid w:val="002F3128"/>
    <w:rsid w:val="003101B6"/>
    <w:rsid w:val="00321270"/>
    <w:rsid w:val="00322636"/>
    <w:rsid w:val="00330A04"/>
    <w:rsid w:val="0033226E"/>
    <w:rsid w:val="0034371F"/>
    <w:rsid w:val="00346991"/>
    <w:rsid w:val="003513C7"/>
    <w:rsid w:val="00353C48"/>
    <w:rsid w:val="00376FDE"/>
    <w:rsid w:val="00381338"/>
    <w:rsid w:val="00383771"/>
    <w:rsid w:val="003854D0"/>
    <w:rsid w:val="0039399B"/>
    <w:rsid w:val="003A3052"/>
    <w:rsid w:val="003B1907"/>
    <w:rsid w:val="003B4333"/>
    <w:rsid w:val="003C0B12"/>
    <w:rsid w:val="003C4BA1"/>
    <w:rsid w:val="003E402C"/>
    <w:rsid w:val="003F1990"/>
    <w:rsid w:val="003F4A56"/>
    <w:rsid w:val="003F557E"/>
    <w:rsid w:val="00414064"/>
    <w:rsid w:val="004143A3"/>
    <w:rsid w:val="00424BB0"/>
    <w:rsid w:val="004276A7"/>
    <w:rsid w:val="00441819"/>
    <w:rsid w:val="00461D59"/>
    <w:rsid w:val="004662BA"/>
    <w:rsid w:val="004736B8"/>
    <w:rsid w:val="00486467"/>
    <w:rsid w:val="00497028"/>
    <w:rsid w:val="004A082B"/>
    <w:rsid w:val="004B125D"/>
    <w:rsid w:val="004D168D"/>
    <w:rsid w:val="004E66BE"/>
    <w:rsid w:val="004F0EAF"/>
    <w:rsid w:val="00504907"/>
    <w:rsid w:val="00534C9C"/>
    <w:rsid w:val="005540D6"/>
    <w:rsid w:val="00562094"/>
    <w:rsid w:val="005658A4"/>
    <w:rsid w:val="00566784"/>
    <w:rsid w:val="00570E27"/>
    <w:rsid w:val="00574386"/>
    <w:rsid w:val="005843E9"/>
    <w:rsid w:val="00585705"/>
    <w:rsid w:val="0059236A"/>
    <w:rsid w:val="005A1A68"/>
    <w:rsid w:val="005D2FD5"/>
    <w:rsid w:val="005D55AE"/>
    <w:rsid w:val="005D57C6"/>
    <w:rsid w:val="005E1718"/>
    <w:rsid w:val="005E7CEF"/>
    <w:rsid w:val="006059F9"/>
    <w:rsid w:val="006069D4"/>
    <w:rsid w:val="00617D13"/>
    <w:rsid w:val="00630EDA"/>
    <w:rsid w:val="00631673"/>
    <w:rsid w:val="0064054E"/>
    <w:rsid w:val="00651A82"/>
    <w:rsid w:val="00670887"/>
    <w:rsid w:val="00696108"/>
    <w:rsid w:val="00696F3C"/>
    <w:rsid w:val="006A0475"/>
    <w:rsid w:val="006A25D4"/>
    <w:rsid w:val="006C28DF"/>
    <w:rsid w:val="006C6291"/>
    <w:rsid w:val="006E27B1"/>
    <w:rsid w:val="006E32F0"/>
    <w:rsid w:val="00713F10"/>
    <w:rsid w:val="00725391"/>
    <w:rsid w:val="00732E8E"/>
    <w:rsid w:val="0077780A"/>
    <w:rsid w:val="00785DA2"/>
    <w:rsid w:val="00790847"/>
    <w:rsid w:val="007B66C0"/>
    <w:rsid w:val="007F3B3B"/>
    <w:rsid w:val="008023DF"/>
    <w:rsid w:val="00807297"/>
    <w:rsid w:val="0085786A"/>
    <w:rsid w:val="00862F53"/>
    <w:rsid w:val="00870AFF"/>
    <w:rsid w:val="0087275A"/>
    <w:rsid w:val="00872F0A"/>
    <w:rsid w:val="008824F8"/>
    <w:rsid w:val="008923AB"/>
    <w:rsid w:val="00893E3B"/>
    <w:rsid w:val="008B6711"/>
    <w:rsid w:val="008C4D5F"/>
    <w:rsid w:val="008E1779"/>
    <w:rsid w:val="008E1C01"/>
    <w:rsid w:val="008E4928"/>
    <w:rsid w:val="008F1D5B"/>
    <w:rsid w:val="00925C7F"/>
    <w:rsid w:val="00927E4F"/>
    <w:rsid w:val="00930A95"/>
    <w:rsid w:val="00945DB2"/>
    <w:rsid w:val="009474C9"/>
    <w:rsid w:val="009572B0"/>
    <w:rsid w:val="00963D3B"/>
    <w:rsid w:val="009C0776"/>
    <w:rsid w:val="009C6028"/>
    <w:rsid w:val="009E17F0"/>
    <w:rsid w:val="00A14CF7"/>
    <w:rsid w:val="00A22469"/>
    <w:rsid w:val="00A22816"/>
    <w:rsid w:val="00A33A8F"/>
    <w:rsid w:val="00A42684"/>
    <w:rsid w:val="00A5074B"/>
    <w:rsid w:val="00A51845"/>
    <w:rsid w:val="00A75A7D"/>
    <w:rsid w:val="00A8794E"/>
    <w:rsid w:val="00AA1BED"/>
    <w:rsid w:val="00AA6CF3"/>
    <w:rsid w:val="00B23AB3"/>
    <w:rsid w:val="00B27077"/>
    <w:rsid w:val="00B35273"/>
    <w:rsid w:val="00B42EB1"/>
    <w:rsid w:val="00B63C4D"/>
    <w:rsid w:val="00B654B4"/>
    <w:rsid w:val="00B65D4B"/>
    <w:rsid w:val="00B670EE"/>
    <w:rsid w:val="00B71B4F"/>
    <w:rsid w:val="00BA0404"/>
    <w:rsid w:val="00BA6EE7"/>
    <w:rsid w:val="00BB6985"/>
    <w:rsid w:val="00BC01F7"/>
    <w:rsid w:val="00BC6ADA"/>
    <w:rsid w:val="00BC79D2"/>
    <w:rsid w:val="00BD2DD4"/>
    <w:rsid w:val="00BD5A67"/>
    <w:rsid w:val="00BE54C4"/>
    <w:rsid w:val="00BF4D00"/>
    <w:rsid w:val="00C0288F"/>
    <w:rsid w:val="00C12121"/>
    <w:rsid w:val="00C2255F"/>
    <w:rsid w:val="00C4011C"/>
    <w:rsid w:val="00C47530"/>
    <w:rsid w:val="00C62391"/>
    <w:rsid w:val="00C7504E"/>
    <w:rsid w:val="00C760BD"/>
    <w:rsid w:val="00C91A83"/>
    <w:rsid w:val="00C97128"/>
    <w:rsid w:val="00CB066C"/>
    <w:rsid w:val="00CC17BC"/>
    <w:rsid w:val="00CC222A"/>
    <w:rsid w:val="00D057BD"/>
    <w:rsid w:val="00D30DEE"/>
    <w:rsid w:val="00D40F11"/>
    <w:rsid w:val="00D42DF5"/>
    <w:rsid w:val="00D47B2D"/>
    <w:rsid w:val="00D64252"/>
    <w:rsid w:val="00DA0230"/>
    <w:rsid w:val="00DD3409"/>
    <w:rsid w:val="00DF1312"/>
    <w:rsid w:val="00DF5706"/>
    <w:rsid w:val="00E1040D"/>
    <w:rsid w:val="00E23387"/>
    <w:rsid w:val="00E463D6"/>
    <w:rsid w:val="00E738A3"/>
    <w:rsid w:val="00E87678"/>
    <w:rsid w:val="00EB6BE0"/>
    <w:rsid w:val="00ED3203"/>
    <w:rsid w:val="00EE722D"/>
    <w:rsid w:val="00EF3A40"/>
    <w:rsid w:val="00EF4313"/>
    <w:rsid w:val="00F06ED9"/>
    <w:rsid w:val="00F33109"/>
    <w:rsid w:val="00F4756F"/>
    <w:rsid w:val="00F50346"/>
    <w:rsid w:val="00F50FB1"/>
    <w:rsid w:val="00F547A2"/>
    <w:rsid w:val="00F61533"/>
    <w:rsid w:val="00F7519D"/>
    <w:rsid w:val="00F93E45"/>
    <w:rsid w:val="00F979B6"/>
    <w:rsid w:val="00FA06A9"/>
    <w:rsid w:val="00FF2CB4"/>
    <w:rsid w:val="00FF35C0"/>
    <w:rsid w:val="01B16457"/>
    <w:rsid w:val="02E02747"/>
    <w:rsid w:val="04AF546C"/>
    <w:rsid w:val="05F9618D"/>
    <w:rsid w:val="06AA54B4"/>
    <w:rsid w:val="084B4A25"/>
    <w:rsid w:val="089C31E9"/>
    <w:rsid w:val="0A2C2EA4"/>
    <w:rsid w:val="0A8D7997"/>
    <w:rsid w:val="0DCC06A1"/>
    <w:rsid w:val="0DDC7649"/>
    <w:rsid w:val="0E8F6CE4"/>
    <w:rsid w:val="0F2922A6"/>
    <w:rsid w:val="0F344F29"/>
    <w:rsid w:val="0F833DB6"/>
    <w:rsid w:val="114335AE"/>
    <w:rsid w:val="12295BA1"/>
    <w:rsid w:val="13BB3D97"/>
    <w:rsid w:val="150B39CF"/>
    <w:rsid w:val="15825E96"/>
    <w:rsid w:val="158B366C"/>
    <w:rsid w:val="15D266DB"/>
    <w:rsid w:val="166528F4"/>
    <w:rsid w:val="175853D3"/>
    <w:rsid w:val="18307F10"/>
    <w:rsid w:val="19617D23"/>
    <w:rsid w:val="19EA4E16"/>
    <w:rsid w:val="1B1F7006"/>
    <w:rsid w:val="1B74754D"/>
    <w:rsid w:val="1B8B56DD"/>
    <w:rsid w:val="1BFE7181"/>
    <w:rsid w:val="1CFB3A9C"/>
    <w:rsid w:val="1D192D6F"/>
    <w:rsid w:val="1FBA04FB"/>
    <w:rsid w:val="207C11C5"/>
    <w:rsid w:val="219B0D2E"/>
    <w:rsid w:val="22BC6D50"/>
    <w:rsid w:val="23334923"/>
    <w:rsid w:val="23FE520F"/>
    <w:rsid w:val="24730B3D"/>
    <w:rsid w:val="26732104"/>
    <w:rsid w:val="267A2E2F"/>
    <w:rsid w:val="271B79CF"/>
    <w:rsid w:val="282E437B"/>
    <w:rsid w:val="292A75D2"/>
    <w:rsid w:val="29680EBF"/>
    <w:rsid w:val="296C7454"/>
    <w:rsid w:val="29AB6CFA"/>
    <w:rsid w:val="29C0055D"/>
    <w:rsid w:val="2C35520A"/>
    <w:rsid w:val="2D213277"/>
    <w:rsid w:val="2EC47150"/>
    <w:rsid w:val="2EF04DAC"/>
    <w:rsid w:val="2F41330F"/>
    <w:rsid w:val="2FB06FC7"/>
    <w:rsid w:val="2FC70831"/>
    <w:rsid w:val="3042169D"/>
    <w:rsid w:val="315437AD"/>
    <w:rsid w:val="33523587"/>
    <w:rsid w:val="33A47907"/>
    <w:rsid w:val="345606AB"/>
    <w:rsid w:val="36872AFD"/>
    <w:rsid w:val="37014554"/>
    <w:rsid w:val="370234D1"/>
    <w:rsid w:val="38596AB4"/>
    <w:rsid w:val="38C75ACE"/>
    <w:rsid w:val="3A332045"/>
    <w:rsid w:val="3A7D3C24"/>
    <w:rsid w:val="3AA376C1"/>
    <w:rsid w:val="3B6E4155"/>
    <w:rsid w:val="3BC03386"/>
    <w:rsid w:val="3D4C494C"/>
    <w:rsid w:val="3DFC5C2C"/>
    <w:rsid w:val="3E8A3700"/>
    <w:rsid w:val="3F0A535E"/>
    <w:rsid w:val="3F2040FB"/>
    <w:rsid w:val="3F3A100C"/>
    <w:rsid w:val="409C44FE"/>
    <w:rsid w:val="43121CF7"/>
    <w:rsid w:val="43502D1F"/>
    <w:rsid w:val="43B6405B"/>
    <w:rsid w:val="446C0B8E"/>
    <w:rsid w:val="45F45948"/>
    <w:rsid w:val="47273A5C"/>
    <w:rsid w:val="47837790"/>
    <w:rsid w:val="47F62C3A"/>
    <w:rsid w:val="48122FCB"/>
    <w:rsid w:val="48C41F58"/>
    <w:rsid w:val="4AA84823"/>
    <w:rsid w:val="4B2E687E"/>
    <w:rsid w:val="4C515EEE"/>
    <w:rsid w:val="4C713F9E"/>
    <w:rsid w:val="4D5765AE"/>
    <w:rsid w:val="4EB01BED"/>
    <w:rsid w:val="50063C66"/>
    <w:rsid w:val="516F688F"/>
    <w:rsid w:val="517A1B21"/>
    <w:rsid w:val="51F40E94"/>
    <w:rsid w:val="529E0394"/>
    <w:rsid w:val="52BE53F9"/>
    <w:rsid w:val="555F7C7F"/>
    <w:rsid w:val="557C3BE9"/>
    <w:rsid w:val="55C86401"/>
    <w:rsid w:val="56E03574"/>
    <w:rsid w:val="577D4768"/>
    <w:rsid w:val="57E86B41"/>
    <w:rsid w:val="58D4118F"/>
    <w:rsid w:val="59214BFC"/>
    <w:rsid w:val="5A2E5C18"/>
    <w:rsid w:val="5A3A65B9"/>
    <w:rsid w:val="5BA85F91"/>
    <w:rsid w:val="5F06242E"/>
    <w:rsid w:val="60435A24"/>
    <w:rsid w:val="6099040F"/>
    <w:rsid w:val="60D12938"/>
    <w:rsid w:val="63B2608C"/>
    <w:rsid w:val="650134AF"/>
    <w:rsid w:val="650830F4"/>
    <w:rsid w:val="655D0910"/>
    <w:rsid w:val="6640080E"/>
    <w:rsid w:val="66437D7B"/>
    <w:rsid w:val="66915AAB"/>
    <w:rsid w:val="68107BBA"/>
    <w:rsid w:val="69B97D18"/>
    <w:rsid w:val="6B7F4BCE"/>
    <w:rsid w:val="6C171954"/>
    <w:rsid w:val="6CBE5BCF"/>
    <w:rsid w:val="6D60040F"/>
    <w:rsid w:val="6D9846CE"/>
    <w:rsid w:val="6DC310D5"/>
    <w:rsid w:val="6DE82EF3"/>
    <w:rsid w:val="6DF36C1C"/>
    <w:rsid w:val="6EF3563C"/>
    <w:rsid w:val="703C2EBA"/>
    <w:rsid w:val="71847892"/>
    <w:rsid w:val="71961F41"/>
    <w:rsid w:val="71D81222"/>
    <w:rsid w:val="72D23886"/>
    <w:rsid w:val="755906BF"/>
    <w:rsid w:val="75B25B27"/>
    <w:rsid w:val="76EB0BCD"/>
    <w:rsid w:val="77692B6F"/>
    <w:rsid w:val="78135734"/>
    <w:rsid w:val="793244EC"/>
    <w:rsid w:val="79E1288F"/>
    <w:rsid w:val="7A18075E"/>
    <w:rsid w:val="7CAB3AE1"/>
    <w:rsid w:val="7CE36EC9"/>
    <w:rsid w:val="7D0C1DD9"/>
    <w:rsid w:val="7D265270"/>
    <w:rsid w:val="7D7F45E5"/>
    <w:rsid w:val="7E5F744D"/>
    <w:rsid w:val="7EB1250B"/>
    <w:rsid w:val="7F393C3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15"/>
    <w:unhideWhenUsed/>
    <w:qFormat/>
    <w:uiPriority w:val="99"/>
    <w:rPr>
      <w:sz w:val="18"/>
      <w:szCs w:val="18"/>
    </w:rPr>
  </w:style>
  <w:style w:type="paragraph" w:styleId="3">
    <w:name w:val="footer"/>
    <w:basedOn w:val="1"/>
    <w:link w:val="12"/>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table" w:styleId="7">
    <w:name w:val="Table Grid"/>
    <w:basedOn w:val="6"/>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styleId="10">
    <w:name w:val="Hyperlink"/>
    <w:basedOn w:val="8"/>
    <w:unhideWhenUsed/>
    <w:qFormat/>
    <w:uiPriority w:val="99"/>
    <w:rPr>
      <w:color w:val="0000FF"/>
      <w:u w:val="single"/>
    </w:rPr>
  </w:style>
  <w:style w:type="character" w:customStyle="1" w:styleId="11">
    <w:name w:val="页眉 Char"/>
    <w:basedOn w:val="8"/>
    <w:link w:val="4"/>
    <w:semiHidden/>
    <w:qFormat/>
    <w:uiPriority w:val="99"/>
    <w:rPr>
      <w:rFonts w:ascii="Times New Roman" w:hAnsi="Times New Roman"/>
      <w:sz w:val="18"/>
      <w:szCs w:val="18"/>
    </w:rPr>
  </w:style>
  <w:style w:type="character" w:customStyle="1" w:styleId="12">
    <w:name w:val="页脚 Char"/>
    <w:basedOn w:val="8"/>
    <w:link w:val="3"/>
    <w:qFormat/>
    <w:uiPriority w:val="99"/>
    <w:rPr>
      <w:rFonts w:ascii="Times New Roman" w:hAnsi="Times New Roman"/>
      <w:sz w:val="18"/>
      <w:szCs w:val="18"/>
    </w:rPr>
  </w:style>
  <w:style w:type="character" w:customStyle="1" w:styleId="13">
    <w:name w:val="fontstyle01"/>
    <w:basedOn w:val="8"/>
    <w:qFormat/>
    <w:uiPriority w:val="0"/>
    <w:rPr>
      <w:rFonts w:hint="eastAsia" w:ascii="宋体" w:hAnsi="宋体" w:eastAsia="宋体" w:cs="宋体"/>
      <w:color w:val="000000"/>
      <w:sz w:val="22"/>
      <w:szCs w:val="22"/>
    </w:rPr>
  </w:style>
  <w:style w:type="character" w:customStyle="1" w:styleId="14">
    <w:name w:val="fontstyle11"/>
    <w:basedOn w:val="8"/>
    <w:qFormat/>
    <w:uiPriority w:val="0"/>
    <w:rPr>
      <w:rFonts w:ascii="仿宋" w:hAnsi="仿宋" w:eastAsia="仿宋" w:cs="仿宋"/>
      <w:color w:val="000000"/>
      <w:sz w:val="22"/>
      <w:szCs w:val="22"/>
    </w:rPr>
  </w:style>
  <w:style w:type="character" w:customStyle="1" w:styleId="15">
    <w:name w:val="批注框文本 Char"/>
    <w:basedOn w:val="8"/>
    <w:link w:val="2"/>
    <w:semiHidden/>
    <w:qFormat/>
    <w:uiPriority w:val="99"/>
    <w:rPr>
      <w:kern w:val="2"/>
      <w:sz w:val="18"/>
      <w:szCs w:val="18"/>
    </w:rPr>
  </w:style>
  <w:style w:type="paragraph" w:customStyle="1"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5170</Words>
  <Characters>5689</Characters>
  <Lines>44</Lines>
  <Paragraphs>12</Paragraphs>
  <TotalTime>3</TotalTime>
  <ScaleCrop>false</ScaleCrop>
  <LinksUpToDate>false</LinksUpToDate>
  <CharactersWithSpaces>5806</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2019-06-26T10:58:00Z</dcterms:created>
  <dc:creator>曹文芳</dc:creator>
  <cp:lastModifiedBy>XJBANK</cp:lastModifiedBy>
  <cp:lastPrinted>2019-08-14T06:11:00Z</cp:lastPrinted>
  <dcterms:modified xsi:type="dcterms:W3CDTF">2020-09-30T06:20:22Z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