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大黑简体" w:hAnsi="宋体" w:eastAsia="方正大黑简体" w:cs="宋体"/>
          <w:b/>
          <w:sz w:val="32"/>
          <w:szCs w:val="32"/>
        </w:rPr>
      </w:pPr>
      <w:bookmarkStart w:id="0" w:name="_GoBack"/>
      <w:bookmarkEnd w:id="0"/>
      <w:r>
        <w:rPr>
          <w:rFonts w:hint="eastAsia" w:ascii="方正大黑简体" w:hAnsi="宋体" w:eastAsia="方正大黑简体" w:cs="宋体"/>
          <w:b/>
          <w:sz w:val="32"/>
          <w:szCs w:val="32"/>
        </w:rPr>
        <w:t>客户权益须知</w:t>
      </w:r>
    </w:p>
    <w:p>
      <w:pPr>
        <w:autoSpaceDE w:val="0"/>
        <w:autoSpaceDN w:val="0"/>
        <w:adjustRightInd w:val="0"/>
        <w:snapToGrid w:val="0"/>
        <w:spacing w:beforeLines="50" w:line="240" w:lineRule="exact"/>
        <w:jc w:val="center"/>
        <w:rPr>
          <w:rFonts w:ascii="宋体" w:hAnsi="宋体" w:cs="宋体"/>
          <w:b/>
          <w:sz w:val="18"/>
          <w:szCs w:val="18"/>
        </w:rPr>
      </w:pPr>
      <w:r>
        <w:rPr>
          <w:rFonts w:hint="eastAsia" w:ascii="宋体" w:hAnsi="宋体" w:cstheme="minorBidi"/>
          <w:b/>
          <w:bCs/>
          <w:sz w:val="18"/>
          <w:szCs w:val="18"/>
        </w:rPr>
        <w:t>理财产品过往业绩不代表其未来表现，不等于理财产品实际收益</w:t>
      </w:r>
    </w:p>
    <w:p>
      <w:pPr>
        <w:autoSpaceDE w:val="0"/>
        <w:autoSpaceDN w:val="0"/>
        <w:adjustRightInd w:val="0"/>
        <w:snapToGrid w:val="0"/>
        <w:spacing w:beforeLines="50" w:line="240" w:lineRule="exact"/>
        <w:jc w:val="center"/>
        <w:rPr>
          <w:rFonts w:ascii="宋体" w:cs="宋体"/>
          <w:b/>
          <w:sz w:val="18"/>
          <w:szCs w:val="18"/>
        </w:rPr>
      </w:pPr>
      <w:r>
        <w:rPr>
          <w:rFonts w:hint="eastAsia" w:ascii="宋体" w:hAnsi="宋体" w:cs="宋体"/>
          <w:b/>
          <w:sz w:val="18"/>
          <w:szCs w:val="18"/>
        </w:rPr>
        <w:t>理财非存款、产品有风险、投资须谨慎</w:t>
      </w:r>
    </w:p>
    <w:p>
      <w:pPr>
        <w:rPr>
          <w:rFonts w:ascii="宋体" w:cs="宋体"/>
          <w:sz w:val="18"/>
          <w:szCs w:val="18"/>
        </w:rPr>
      </w:pPr>
      <w:r>
        <w:rPr>
          <w:rFonts w:hint="eastAsia" w:ascii="宋体" w:hAnsi="宋体" w:cs="宋体"/>
          <w:sz w:val="18"/>
          <w:szCs w:val="18"/>
        </w:rPr>
        <w:t>尊敬的客户：</w:t>
      </w:r>
    </w:p>
    <w:p>
      <w:pPr>
        <w:ind w:firstLine="360" w:firstLineChars="200"/>
        <w:rPr>
          <w:rFonts w:ascii="宋体" w:hAnsi="宋体" w:cs="宋体"/>
          <w:sz w:val="18"/>
          <w:szCs w:val="18"/>
        </w:rPr>
      </w:pPr>
      <w:r>
        <w:rPr>
          <w:rFonts w:hint="eastAsia" w:ascii="宋体" w:hAnsi="宋体" w:cs="宋体"/>
          <w:sz w:val="18"/>
          <w:szCs w:val="18"/>
        </w:rPr>
        <w:t>感谢贵公司购买新疆银行（“我行”）理财产品，为了保护贵公司的合法权益，建议：</w:t>
      </w:r>
      <w:r>
        <w:rPr>
          <w:rFonts w:hint="eastAsia" w:ascii="宋体" w:hAnsi="宋体" w:cs="宋体"/>
          <w:b/>
          <w:sz w:val="18"/>
          <w:szCs w:val="18"/>
        </w:rPr>
        <w:t>首先</w:t>
      </w:r>
      <w:r>
        <w:rPr>
          <w:rFonts w:hint="eastAsia" w:ascii="宋体" w:hAnsi="宋体" w:cs="宋体"/>
          <w:sz w:val="18"/>
          <w:szCs w:val="18"/>
        </w:rPr>
        <w:t>，请在投资银行理财产品前，了解贵公司的投资目标，风险偏好和产品需求。</w:t>
      </w:r>
      <w:r>
        <w:rPr>
          <w:rFonts w:hint="eastAsia" w:ascii="宋体" w:hAnsi="宋体" w:cs="宋体"/>
          <w:b/>
          <w:sz w:val="18"/>
          <w:szCs w:val="18"/>
        </w:rPr>
        <w:t>其次</w:t>
      </w:r>
      <w:r>
        <w:rPr>
          <w:rFonts w:hint="eastAsia" w:ascii="宋体" w:hAnsi="宋体" w:cs="宋体"/>
          <w:sz w:val="18"/>
          <w:szCs w:val="18"/>
        </w:rPr>
        <w:t>，请仔细阅读银行理财产品的相关销售文件，具体为</w:t>
      </w:r>
      <w:r>
        <w:rPr>
          <w:rFonts w:hint="eastAsia" w:ascii="宋体" w:hAnsi="宋体" w:cs="宋体"/>
          <w:kern w:val="0"/>
          <w:sz w:val="18"/>
          <w:szCs w:val="18"/>
        </w:rPr>
        <w:t>《新疆银行人民币同业理财产品协议书》、《新疆银行人民币同业理财产品说明书》、《新疆银行人民币同业理财产品风险揭示书》、《客户权益须知》以及其他有关文件（如有）</w:t>
      </w:r>
      <w:r>
        <w:rPr>
          <w:rFonts w:hint="eastAsia" w:ascii="宋体" w:hAnsi="宋体" w:cs="宋体"/>
          <w:sz w:val="18"/>
          <w:szCs w:val="18"/>
        </w:rPr>
        <w:t>，选择购买与贵公司自身风险承受能力相匹配的产品。在阅读有不明之处时，贵公司可及时向我行理财人员进行咨询。</w:t>
      </w:r>
      <w:r>
        <w:rPr>
          <w:rFonts w:hint="eastAsia" w:ascii="宋体" w:hAnsi="宋体" w:cs="宋体"/>
          <w:b/>
          <w:sz w:val="18"/>
          <w:szCs w:val="18"/>
        </w:rPr>
        <w:t>最后</w:t>
      </w:r>
      <w:r>
        <w:rPr>
          <w:rFonts w:hint="eastAsia" w:ascii="宋体" w:hAnsi="宋体" w:cs="宋体"/>
          <w:sz w:val="18"/>
          <w:szCs w:val="18"/>
        </w:rPr>
        <w:t>，请关注我行对理财产品的信息披露渠道与频率以及我行相关联络方式，以便贵公司对所购买的理财产品有任何意见或建议向我行反馈。我行将以诚实守信、勤勉尽责的态度为贵公司提供专业的服务。</w:t>
      </w:r>
    </w:p>
    <w:p>
      <w:pPr>
        <w:ind w:firstLine="361" w:firstLineChars="200"/>
        <w:rPr>
          <w:rFonts w:ascii="宋体" w:cs="宋体"/>
          <w:b/>
          <w:sz w:val="18"/>
          <w:szCs w:val="18"/>
        </w:rPr>
      </w:pPr>
      <w:r>
        <w:rPr>
          <w:rFonts w:hint="eastAsia" w:ascii="宋体" w:hAnsi="宋体" w:cs="宋体"/>
          <w:b/>
          <w:sz w:val="18"/>
          <w:szCs w:val="18"/>
        </w:rPr>
        <w:t>一、理财产品购买流程</w:t>
      </w:r>
    </w:p>
    <w:p>
      <w:pPr>
        <w:ind w:firstLine="360" w:firstLineChars="200"/>
        <w:rPr>
          <w:rFonts w:ascii="宋体" w:cs="宋体"/>
          <w:sz w:val="18"/>
          <w:szCs w:val="18"/>
        </w:rPr>
      </w:pPr>
      <w:r>
        <w:rPr>
          <w:rFonts w:hint="eastAsia" w:ascii="宋体" w:hAnsi="宋体" w:cs="宋体"/>
          <w:sz w:val="18"/>
          <w:szCs w:val="18"/>
        </w:rPr>
        <w:t>1、新疆银行理财产品根据投资范围、风险收益特点、流动性等不同因素，分为</w:t>
      </w:r>
      <w:r>
        <w:rPr>
          <w:rFonts w:hint="eastAsia" w:ascii="宋体" w:hAnsi="宋体" w:cs="宋体"/>
          <w:sz w:val="18"/>
          <w:szCs w:val="18"/>
          <w:lang w:val="en-US" w:eastAsia="zh-CN"/>
        </w:rPr>
        <w:t>低</w:t>
      </w:r>
      <w:r>
        <w:rPr>
          <w:rFonts w:hint="eastAsia" w:ascii="宋体" w:hAnsi="宋体" w:cs="宋体"/>
          <w:sz w:val="18"/>
          <w:szCs w:val="18"/>
        </w:rPr>
        <w:t>风险（R1）、</w:t>
      </w:r>
      <w:r>
        <w:rPr>
          <w:rFonts w:hint="eastAsia" w:ascii="宋体" w:hAnsi="宋体" w:cs="宋体"/>
          <w:sz w:val="18"/>
          <w:szCs w:val="18"/>
          <w:lang w:val="en-US" w:eastAsia="zh-CN"/>
        </w:rPr>
        <w:t>中低风险</w:t>
      </w:r>
      <w:r>
        <w:rPr>
          <w:rFonts w:hint="eastAsia" w:ascii="宋体" w:hAnsi="宋体" w:cs="宋体"/>
          <w:sz w:val="18"/>
          <w:szCs w:val="18"/>
        </w:rPr>
        <w:t>（R2）、</w:t>
      </w:r>
      <w:r>
        <w:rPr>
          <w:rFonts w:hint="eastAsia" w:ascii="宋体" w:hAnsi="宋体" w:cs="宋体"/>
          <w:sz w:val="18"/>
          <w:szCs w:val="18"/>
          <w:lang w:val="en-US" w:eastAsia="zh-CN"/>
        </w:rPr>
        <w:t>中等风险</w:t>
      </w:r>
      <w:r>
        <w:rPr>
          <w:rFonts w:hint="eastAsia" w:ascii="宋体" w:hAnsi="宋体" w:cs="宋体"/>
          <w:sz w:val="18"/>
          <w:szCs w:val="18"/>
        </w:rPr>
        <w:t>（R3）、</w:t>
      </w:r>
      <w:r>
        <w:rPr>
          <w:rFonts w:hint="eastAsia" w:ascii="宋体" w:hAnsi="宋体" w:cs="宋体"/>
          <w:sz w:val="18"/>
          <w:szCs w:val="18"/>
          <w:lang w:val="en-US" w:eastAsia="zh-CN"/>
        </w:rPr>
        <w:t>较高风险</w:t>
      </w:r>
      <w:r>
        <w:rPr>
          <w:rFonts w:hint="eastAsia" w:ascii="宋体" w:hAnsi="宋体" w:cs="宋体"/>
          <w:sz w:val="18"/>
          <w:szCs w:val="18"/>
        </w:rPr>
        <w:t>（R4）、</w:t>
      </w:r>
      <w:r>
        <w:rPr>
          <w:rFonts w:hint="eastAsia" w:ascii="宋体" w:hAnsi="宋体" w:cs="宋体"/>
          <w:sz w:val="18"/>
          <w:szCs w:val="18"/>
          <w:lang w:val="en-US" w:eastAsia="zh-CN"/>
        </w:rPr>
        <w:t>高风险</w:t>
      </w:r>
      <w:r>
        <w:rPr>
          <w:rFonts w:hint="eastAsia" w:ascii="宋体" w:hAnsi="宋体" w:cs="宋体"/>
          <w:sz w:val="18"/>
          <w:szCs w:val="18"/>
        </w:rPr>
        <w:t>（R5）五种不同类型的产品。我们建议贵公司根据自身的财务状况、投资经验、投资目的、收益预期、风险偏好、流动性要求、风险认识以及风险损失承受程度等方面，评估贵公司自身的投资需求和风险承受能力，选择适合贵公司投资需求和风险承受能力的理财产品。</w:t>
      </w:r>
    </w:p>
    <w:p>
      <w:pPr>
        <w:ind w:firstLine="360" w:firstLineChars="200"/>
        <w:rPr>
          <w:rFonts w:ascii="宋体" w:cs="宋体"/>
          <w:sz w:val="18"/>
          <w:szCs w:val="18"/>
        </w:rPr>
      </w:pPr>
      <w:r>
        <w:rPr>
          <w:rFonts w:ascii="宋体" w:hAnsi="宋体" w:cs="宋体"/>
          <w:sz w:val="18"/>
          <w:szCs w:val="18"/>
        </w:rPr>
        <w:t>2</w:t>
      </w:r>
      <w:r>
        <w:rPr>
          <w:rFonts w:hint="eastAsia" w:ascii="宋体" w:hAnsi="宋体" w:cs="宋体"/>
          <w:sz w:val="18"/>
          <w:szCs w:val="18"/>
        </w:rPr>
        <w:t>、选购理财产品前，请您仔细阅读《理财产品协议书》、《产品说明书》、《风险揭示书》、《客户权益须知》以及其他有关文件（如有），确认已同意相关内容、充分了解相关风险并无疑问和异议后，签署相关销售文件，并办理购买手续。</w:t>
      </w:r>
    </w:p>
    <w:p>
      <w:pPr>
        <w:ind w:firstLine="360" w:firstLineChars="200"/>
        <w:rPr>
          <w:rFonts w:ascii="宋体" w:cs="宋体"/>
          <w:sz w:val="18"/>
          <w:szCs w:val="18"/>
        </w:rPr>
      </w:pPr>
      <w:r>
        <w:rPr>
          <w:rFonts w:ascii="宋体" w:hAnsi="宋体" w:cs="宋体"/>
          <w:sz w:val="18"/>
          <w:szCs w:val="18"/>
        </w:rPr>
        <w:t>3</w:t>
      </w:r>
      <w:r>
        <w:rPr>
          <w:rFonts w:hint="eastAsia" w:ascii="宋体" w:hAnsi="宋体" w:cs="宋体"/>
          <w:sz w:val="18"/>
          <w:szCs w:val="18"/>
        </w:rPr>
        <w:t>、我行各营业网点或者电子银行（包括但不限于网上银行、电话银行和手机银行）均可办理理财产品的购买手续，详见《产品说明书》，但是对于具体理财产品，我行将根据产品风险等级和市场情况自行确定发售渠道。</w:t>
      </w:r>
    </w:p>
    <w:p>
      <w:pPr>
        <w:ind w:firstLine="361" w:firstLineChars="200"/>
        <w:rPr>
          <w:rFonts w:ascii="宋体" w:cs="宋体"/>
          <w:b/>
          <w:sz w:val="18"/>
          <w:szCs w:val="18"/>
        </w:rPr>
      </w:pPr>
      <w:r>
        <w:rPr>
          <w:rFonts w:hint="eastAsia" w:ascii="宋体" w:hAnsi="宋体" w:cs="宋体"/>
          <w:b/>
          <w:sz w:val="18"/>
          <w:szCs w:val="18"/>
        </w:rPr>
        <w:t>二、关于理财产品信息披露</w:t>
      </w:r>
    </w:p>
    <w:p>
      <w:pPr>
        <w:ind w:firstLine="360" w:firstLineChars="200"/>
        <w:rPr>
          <w:rFonts w:ascii="宋体" w:hAnsi="宋体" w:cs="宋体"/>
          <w:sz w:val="18"/>
          <w:szCs w:val="18"/>
        </w:rPr>
      </w:pPr>
      <w:r>
        <w:rPr>
          <w:rFonts w:hint="eastAsia" w:ascii="宋体" w:hAnsi="宋体" w:cs="宋体"/>
          <w:sz w:val="18"/>
          <w:szCs w:val="18"/>
        </w:rPr>
        <w:t>1.新疆银行将通过门户网站(</w:t>
      </w:r>
      <w:r>
        <w:fldChar w:fldCharType="begin"/>
      </w:r>
      <w:r>
        <w:instrText xml:space="preserve"> HYPERLINK "http://www.xjbank.com" </w:instrText>
      </w:r>
      <w:r>
        <w:fldChar w:fldCharType="separate"/>
      </w:r>
      <w:r>
        <w:rPr>
          <w:rStyle w:val="6"/>
          <w:rFonts w:ascii="宋体" w:hAnsi="宋体" w:cs="宋体"/>
          <w:sz w:val="18"/>
          <w:szCs w:val="18"/>
        </w:rPr>
        <w:t>www.xjbank.com</w:t>
      </w:r>
      <w:r>
        <w:rPr>
          <w:rStyle w:val="6"/>
          <w:rFonts w:ascii="宋体" w:hAnsi="宋体" w:cs="宋体"/>
          <w:sz w:val="18"/>
          <w:szCs w:val="18"/>
        </w:rPr>
        <w:fldChar w:fldCharType="end"/>
      </w:r>
      <w:r>
        <w:rPr>
          <w:rFonts w:hint="eastAsia"/>
        </w:rPr>
        <w:t>)</w:t>
      </w:r>
      <w:r>
        <w:rPr>
          <w:rFonts w:hint="eastAsia" w:ascii="宋体" w:hAnsi="宋体" w:cs="宋体"/>
          <w:sz w:val="18"/>
          <w:szCs w:val="18"/>
        </w:rPr>
        <w:t>或营业网点进行信息披露，具体以产品说明书的约定为准。</w:t>
      </w:r>
    </w:p>
    <w:p>
      <w:pPr>
        <w:ind w:firstLine="360" w:firstLineChars="200"/>
        <w:rPr>
          <w:rFonts w:ascii="宋体" w:hAnsi="宋体" w:cs="宋体"/>
          <w:sz w:val="18"/>
          <w:szCs w:val="18"/>
        </w:rPr>
      </w:pPr>
      <w:r>
        <w:rPr>
          <w:rFonts w:hint="eastAsia" w:ascii="宋体" w:hAnsi="宋体" w:cs="宋体"/>
          <w:sz w:val="18"/>
          <w:szCs w:val="18"/>
        </w:rPr>
        <w:t>2.投资者</w:t>
      </w:r>
      <w:r>
        <w:rPr>
          <w:rFonts w:ascii="宋体" w:hAnsi="宋体" w:cs="宋体"/>
          <w:sz w:val="18"/>
          <w:szCs w:val="18"/>
        </w:rPr>
        <w:t>对</w:t>
      </w:r>
      <w:r>
        <w:rPr>
          <w:rFonts w:hint="eastAsia" w:ascii="宋体" w:hAnsi="宋体" w:cs="宋体"/>
          <w:sz w:val="18"/>
          <w:szCs w:val="18"/>
        </w:rPr>
        <w:t>银行</w:t>
      </w:r>
      <w:r>
        <w:rPr>
          <w:rFonts w:ascii="宋体" w:hAnsi="宋体" w:cs="宋体"/>
          <w:sz w:val="18"/>
          <w:szCs w:val="18"/>
        </w:rPr>
        <w:t>理财产品和服务有任何意见</w:t>
      </w:r>
      <w:r>
        <w:rPr>
          <w:rFonts w:hint="eastAsia" w:ascii="宋体" w:hAnsi="宋体" w:cs="宋体"/>
          <w:sz w:val="18"/>
          <w:szCs w:val="18"/>
        </w:rPr>
        <w:t>或</w:t>
      </w:r>
      <w:r>
        <w:rPr>
          <w:rFonts w:ascii="宋体" w:hAnsi="宋体" w:cs="宋体"/>
          <w:sz w:val="18"/>
          <w:szCs w:val="18"/>
        </w:rPr>
        <w:t>建议，可通过新疆银行营业网点工作人员、96559</w:t>
      </w:r>
      <w:r>
        <w:rPr>
          <w:rFonts w:hint="eastAsia" w:ascii="宋体" w:hAnsi="宋体" w:cs="宋体"/>
          <w:sz w:val="18"/>
          <w:szCs w:val="18"/>
        </w:rPr>
        <w:t>客服专线</w:t>
      </w:r>
      <w:r>
        <w:rPr>
          <w:rFonts w:ascii="宋体" w:hAnsi="宋体" w:cs="宋体"/>
          <w:sz w:val="18"/>
          <w:szCs w:val="18"/>
        </w:rPr>
        <w:t>进行</w:t>
      </w:r>
      <w:r>
        <w:rPr>
          <w:rFonts w:hint="eastAsia" w:ascii="宋体" w:hAnsi="宋体" w:cs="宋体"/>
          <w:sz w:val="18"/>
          <w:szCs w:val="18"/>
        </w:rPr>
        <w:t>投诉或</w:t>
      </w:r>
      <w:r>
        <w:rPr>
          <w:rFonts w:ascii="宋体" w:hAnsi="宋体" w:cs="宋体"/>
          <w:sz w:val="18"/>
          <w:szCs w:val="18"/>
        </w:rPr>
        <w:t>反映，</w:t>
      </w:r>
      <w:r>
        <w:rPr>
          <w:rFonts w:hint="eastAsia" w:ascii="宋体" w:hAnsi="宋体" w:cs="宋体"/>
          <w:sz w:val="18"/>
          <w:szCs w:val="18"/>
        </w:rPr>
        <w:t>银行将由专人记录并处理您的意见或建议</w:t>
      </w:r>
      <w:r>
        <w:rPr>
          <w:rFonts w:ascii="宋体" w:hAnsi="宋体" w:cs="宋体"/>
          <w:sz w:val="18"/>
          <w:szCs w:val="18"/>
        </w:rPr>
        <w:t>。</w:t>
      </w:r>
    </w:p>
    <w:p>
      <w:pPr>
        <w:ind w:firstLine="360" w:firstLineChars="200"/>
        <w:rPr>
          <w:rFonts w:ascii="宋体" w:hAnsi="宋体" w:cs="宋体"/>
          <w:sz w:val="18"/>
          <w:szCs w:val="18"/>
        </w:rPr>
      </w:pPr>
      <w:r>
        <w:rPr>
          <w:rFonts w:hint="eastAsia" w:ascii="宋体" w:hAnsi="宋体" w:cs="宋体"/>
          <w:sz w:val="18"/>
          <w:szCs w:val="18"/>
        </w:rPr>
        <w:t>3.在本产品合同签订和履行过程中获取和知悉的投资者的信息和资料，银行对相关信息和资料的使用不得违反法律法规和监管要求，并依法承担保密责任，不得向第三方披露该等信息和资料，但下列情形除外：（1）法律法规要求披露的；（2）司法部门或监管机构依法要求披露的；（3）银行在本产品说明书项下，为履行义务或行使权利需要向银行的外部专业顾问机构披露和允许银行的外部专业顾问机构在保密基础上使用的；（4）投资者另行明确同意或授权银行进行披露的。（5）银行根据适用的法律法规、监管规定对投资者及持有的理财产品的相关信息进行登记，并传输给银行业理财登记托管中心。</w:t>
      </w:r>
    </w:p>
    <w:p>
      <w:pPr>
        <w:ind w:firstLine="360" w:firstLineChars="200"/>
        <w:rPr>
          <w:rFonts w:ascii="宋体" w:hAnsi="宋体" w:cs="宋体"/>
          <w:sz w:val="18"/>
          <w:szCs w:val="18"/>
        </w:rPr>
      </w:pPr>
    </w:p>
    <w:p>
      <w:pPr>
        <w:spacing w:before="100" w:beforeAutospacing="1" w:after="100" w:afterAutospacing="1"/>
        <w:jc w:val="right"/>
        <w:rPr>
          <w:rFonts w:ascii="宋体" w:cs="宋体"/>
          <w:b/>
          <w:sz w:val="18"/>
          <w:szCs w:val="18"/>
        </w:rPr>
      </w:pPr>
    </w:p>
    <w:p>
      <w:pPr>
        <w:jc w:val="right"/>
      </w:pPr>
      <w:r>
        <w:rPr>
          <w:rFonts w:hint="eastAsia"/>
        </w:rPr>
        <w:t>新疆银行股份有限公司</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简体">
    <w:altName w:val="黑体"/>
    <w:panose1 w:val="02010601030101010101"/>
    <w:charset w:val="86"/>
    <w:family w:val="auto"/>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406"/>
    <w:rsid w:val="000C2110"/>
    <w:rsid w:val="000E6114"/>
    <w:rsid w:val="001555E7"/>
    <w:rsid w:val="00253F94"/>
    <w:rsid w:val="00383F66"/>
    <w:rsid w:val="003D7C40"/>
    <w:rsid w:val="00417F0B"/>
    <w:rsid w:val="0045745F"/>
    <w:rsid w:val="00544406"/>
    <w:rsid w:val="005540D6"/>
    <w:rsid w:val="00642CF7"/>
    <w:rsid w:val="007511AD"/>
    <w:rsid w:val="00783DFC"/>
    <w:rsid w:val="007953FC"/>
    <w:rsid w:val="007C31FF"/>
    <w:rsid w:val="007D0F55"/>
    <w:rsid w:val="00817017"/>
    <w:rsid w:val="00873715"/>
    <w:rsid w:val="00894844"/>
    <w:rsid w:val="00895EC9"/>
    <w:rsid w:val="008B4700"/>
    <w:rsid w:val="008D673B"/>
    <w:rsid w:val="008E7DDB"/>
    <w:rsid w:val="00924755"/>
    <w:rsid w:val="009464EE"/>
    <w:rsid w:val="00962A8E"/>
    <w:rsid w:val="009F4FB8"/>
    <w:rsid w:val="009F697B"/>
    <w:rsid w:val="00A61155"/>
    <w:rsid w:val="00A778E9"/>
    <w:rsid w:val="00A93BB7"/>
    <w:rsid w:val="00AC776A"/>
    <w:rsid w:val="00B345C3"/>
    <w:rsid w:val="00B54F7C"/>
    <w:rsid w:val="00BE49C9"/>
    <w:rsid w:val="00C3495E"/>
    <w:rsid w:val="00C40882"/>
    <w:rsid w:val="00D5428A"/>
    <w:rsid w:val="00DC178B"/>
    <w:rsid w:val="00E16839"/>
    <w:rsid w:val="00E91CC5"/>
    <w:rsid w:val="00EF5F91"/>
    <w:rsid w:val="00F17B39"/>
    <w:rsid w:val="00FA4D4A"/>
    <w:rsid w:val="335E7B73"/>
    <w:rsid w:val="3A6B1E4E"/>
    <w:rsid w:val="572D419A"/>
    <w:rsid w:val="63E619E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 w:type="character" w:customStyle="1" w:styleId="7">
    <w:name w:val="页眉 Char"/>
    <w:basedOn w:val="5"/>
    <w:link w:val="3"/>
    <w:semiHidden/>
    <w:uiPriority w:val="99"/>
    <w:rPr>
      <w:rFonts w:ascii="Times New Roman" w:hAnsi="Times New Roman"/>
      <w:sz w:val="18"/>
      <w:szCs w:val="18"/>
    </w:rPr>
  </w:style>
  <w:style w:type="character" w:customStyle="1" w:styleId="8">
    <w:name w:val="页脚 Char"/>
    <w:basedOn w:val="5"/>
    <w:link w:val="2"/>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188</Words>
  <Characters>1072</Characters>
  <Lines>8</Lines>
  <Paragraphs>2</Paragraphs>
  <TotalTime>5</TotalTime>
  <ScaleCrop>false</ScaleCrop>
  <LinksUpToDate>false</LinksUpToDate>
  <CharactersWithSpaces>1258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2019-10-08T10:15:00Z</dcterms:created>
  <dc:creator>曹文芳</dc:creator>
  <cp:lastModifiedBy>曹旭红</cp:lastModifiedBy>
  <dcterms:modified xsi:type="dcterms:W3CDTF">2020-08-07T01:23:49Z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