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Lines="50"/>
        <w:jc w:val="center"/>
        <w:rPr>
          <w:rFonts w:ascii="方正大黑简体" w:hAnsi="宋体" w:eastAsia="方正大黑简体"/>
          <w:b/>
          <w:sz w:val="32"/>
          <w:szCs w:val="32"/>
        </w:rPr>
      </w:pPr>
      <w:r>
        <w:rPr>
          <w:rFonts w:hint="eastAsia" w:ascii="方正大黑简体" w:hAnsi="宋体" w:eastAsia="方正大黑简体"/>
          <w:b/>
          <w:sz w:val="32"/>
          <w:szCs w:val="32"/>
        </w:rPr>
        <w:t xml:space="preserve"> 新疆银行人民币同业理财产品</w:t>
      </w:r>
      <w:r>
        <w:rPr>
          <w:rFonts w:ascii="方正大黑简体" w:hAnsi="宋体" w:eastAsia="方正大黑简体"/>
          <w:b/>
          <w:sz w:val="32"/>
          <w:szCs w:val="32"/>
        </w:rPr>
        <w:t>说明书</w:t>
      </w:r>
    </w:p>
    <w:p>
      <w:pPr>
        <w:ind w:right="-107" w:rightChars="-51"/>
        <w:jc w:val="center"/>
        <w:rPr>
          <w:rFonts w:ascii="宋体" w:hAnsi="宋体" w:cs="Times New Roman"/>
          <w:b/>
          <w:bCs/>
          <w:sz w:val="18"/>
          <w:szCs w:val="18"/>
        </w:rPr>
      </w:pPr>
      <w:r>
        <w:rPr>
          <w:rFonts w:hint="eastAsia" w:ascii="宋体" w:hAnsi="宋体" w:cs="Times New Roman"/>
          <w:b/>
          <w:bCs/>
          <w:sz w:val="18"/>
          <w:szCs w:val="18"/>
        </w:rPr>
        <w:t>特别风险提示</w:t>
      </w:r>
    </w:p>
    <w:p>
      <w:pPr>
        <w:ind w:right="-107" w:rightChars="-51"/>
        <w:jc w:val="left"/>
        <w:rPr>
          <w:rFonts w:ascii="宋体" w:hAnsi="宋体"/>
          <w:b/>
          <w:bCs/>
          <w:sz w:val="18"/>
          <w:szCs w:val="18"/>
        </w:rPr>
      </w:pPr>
      <w:r>
        <w:rPr>
          <w:rFonts w:hint="eastAsia" w:ascii="宋体" w:hAnsi="宋体"/>
          <w:b/>
          <w:bCs/>
          <w:sz w:val="18"/>
          <w:szCs w:val="18"/>
        </w:rPr>
        <w:t>★ 银行销售的理财产品与存款存在明显区别，理财非存款、产品有风险、投资须谨慎。</w:t>
      </w:r>
    </w:p>
    <w:p>
      <w:pPr>
        <w:ind w:right="-107" w:rightChars="-51"/>
        <w:rPr>
          <w:rFonts w:ascii="宋体" w:hAnsi="宋体"/>
          <w:b/>
          <w:bCs/>
          <w:sz w:val="18"/>
          <w:szCs w:val="18"/>
        </w:rPr>
      </w:pPr>
      <w:r>
        <w:rPr>
          <w:rFonts w:hint="eastAsia" w:ascii="宋体" w:hAnsi="宋体"/>
          <w:b/>
          <w:bCs/>
          <w:sz w:val="18"/>
          <w:szCs w:val="18"/>
        </w:rPr>
        <w:t>★ 理财产品过往业绩不代表其未来表现，不等于理财产品实际收益。</w:t>
      </w:r>
    </w:p>
    <w:p>
      <w:pPr>
        <w:ind w:left="266" w:right="-107" w:rightChars="-51" w:hanging="266" w:hangingChars="147"/>
        <w:jc w:val="left"/>
        <w:rPr>
          <w:rFonts w:ascii="宋体" w:hAnsi="宋体"/>
          <w:b/>
          <w:bCs/>
          <w:sz w:val="18"/>
          <w:szCs w:val="18"/>
        </w:rPr>
      </w:pPr>
      <w:r>
        <w:rPr>
          <w:rFonts w:hint="eastAsia" w:ascii="宋体" w:hAnsi="宋体"/>
          <w:b/>
          <w:bCs/>
          <w:sz w:val="18"/>
          <w:szCs w:val="18"/>
        </w:rPr>
        <w:t>★ 本产品为非保本浮动收益型产品，新疆银行理财产品内部风险评级为</w:t>
      </w:r>
      <w:r>
        <w:rPr>
          <w:rFonts w:hint="eastAsia" w:ascii="宋体" w:hAnsi="宋体"/>
          <w:b/>
          <w:bCs/>
          <w:sz w:val="18"/>
          <w:szCs w:val="18"/>
          <w:lang w:eastAsia="zh-CN"/>
        </w:rPr>
        <w:t>中低风险</w:t>
      </w:r>
      <w:r>
        <w:rPr>
          <w:rFonts w:hint="eastAsia" w:ascii="宋体" w:hAnsi="宋体"/>
          <w:b/>
          <w:bCs/>
          <w:sz w:val="18"/>
          <w:szCs w:val="18"/>
        </w:rPr>
        <w:t>，面向具有一定风险承受能力的有、无投资经验客户销售。</w:t>
      </w:r>
    </w:p>
    <w:p>
      <w:pPr>
        <w:ind w:left="266" w:right="-107" w:rightChars="-51" w:hanging="266" w:hangingChars="147"/>
        <w:jc w:val="left"/>
        <w:rPr>
          <w:rFonts w:ascii="宋体" w:hAnsi="宋体"/>
          <w:b/>
          <w:bCs/>
          <w:sz w:val="18"/>
          <w:szCs w:val="18"/>
        </w:rPr>
      </w:pPr>
      <w:r>
        <w:rPr>
          <w:rFonts w:hint="eastAsia" w:ascii="宋体" w:hAnsi="宋体"/>
          <w:b/>
          <w:bCs/>
          <w:sz w:val="18"/>
          <w:szCs w:val="18"/>
        </w:rPr>
        <w:t>★ 新疆银行对本理财产品的本金和收益不提供保证承诺。本理财产品在发生不利情况下（可能但不一定发生），投资者可能无法取得收益，并可能面临损失本金的风险。投资者应认真阅读本说明书及风险揭示书风险揭示的内容，基于自身的独立判断进行投资决策。</w:t>
      </w:r>
    </w:p>
    <w:p>
      <w:pPr>
        <w:ind w:left="266" w:right="-107" w:rightChars="-51" w:hanging="266" w:hangingChars="147"/>
        <w:jc w:val="left"/>
        <w:rPr>
          <w:rFonts w:ascii="宋体" w:hAnsi="宋体"/>
          <w:b/>
          <w:bCs/>
          <w:sz w:val="18"/>
          <w:szCs w:val="18"/>
        </w:rPr>
      </w:pPr>
      <w:r>
        <w:rPr>
          <w:rFonts w:hint="eastAsia" w:ascii="宋体" w:hAnsi="宋体"/>
          <w:b/>
          <w:bCs/>
          <w:sz w:val="18"/>
          <w:szCs w:val="18"/>
        </w:rPr>
        <w:t>★ 本理财产品说明书中的任何预计收益、参考收益、测算收益或类似表述均属不具有法律效力的用语，不代表投资者可能获得的实际收益，亦不构成新疆银行对本理财产品的任何收益承诺，仅供投资者期初进行投资决定时参考。</w:t>
      </w:r>
    </w:p>
    <w:p>
      <w:pPr>
        <w:ind w:left="266" w:right="-107" w:rightChars="-51" w:hanging="266" w:hangingChars="147"/>
        <w:jc w:val="left"/>
        <w:rPr>
          <w:rFonts w:ascii="宋体" w:hAnsi="宋体" w:cs="宋体"/>
          <w:b/>
          <w:sz w:val="18"/>
          <w:szCs w:val="18"/>
        </w:rPr>
      </w:pPr>
      <w:r>
        <w:rPr>
          <w:rFonts w:hint="eastAsia" w:ascii="宋体" w:hAnsi="宋体"/>
          <w:b/>
          <w:bCs/>
          <w:sz w:val="18"/>
          <w:szCs w:val="18"/>
        </w:rPr>
        <w:t xml:space="preserve">★ </w:t>
      </w:r>
      <w:r>
        <w:rPr>
          <w:rFonts w:hint="eastAsia" w:ascii="宋体" w:hAnsi="宋体" w:cs="宋体"/>
          <w:b/>
          <w:sz w:val="18"/>
          <w:szCs w:val="18"/>
        </w:rPr>
        <w:t>新疆银行郑重提示：本产品说明书、风险揭示书、客户权益须知为理财产品协议书不可分割的组成部分，在购买理财产品前，投资者应确保自己完全明白该项投资的性质和所涉及的风险，详细了解和审慎评估该理财产品的资金投资方向、风险类型及参考收益等基本情况，在慎重考虑后自行决定购买与自身风险承受能力和资产管理需求匹配的理财产品。</w:t>
      </w:r>
    </w:p>
    <w:p>
      <w:pPr>
        <w:ind w:left="266" w:right="-107" w:rightChars="-51" w:hanging="266" w:hangingChars="147"/>
        <w:jc w:val="left"/>
        <w:rPr>
          <w:rFonts w:ascii="宋体" w:hAnsi="宋体"/>
          <w:b/>
          <w:bCs/>
          <w:sz w:val="18"/>
          <w:szCs w:val="18"/>
        </w:rPr>
      </w:pPr>
      <w:r>
        <w:rPr>
          <w:rFonts w:hint="eastAsia" w:ascii="宋体" w:hAnsi="宋体"/>
          <w:b/>
          <w:bCs/>
          <w:sz w:val="18"/>
          <w:szCs w:val="18"/>
        </w:rPr>
        <w:t>★ 投资者对本理财产品说明书的内容有任何疑问，请向新疆银行咨询。在购买本理财产品后，投资者应随时关注该理财产品的信息披露情况，及时获取相关信息。</w:t>
      </w:r>
    </w:p>
    <w:p>
      <w:pPr>
        <w:ind w:left="266" w:right="-107" w:rightChars="-51" w:hanging="266" w:hangingChars="147"/>
        <w:jc w:val="left"/>
        <w:rPr>
          <w:rFonts w:ascii="宋体" w:hAnsi="宋体"/>
          <w:b/>
          <w:bCs/>
          <w:sz w:val="18"/>
          <w:szCs w:val="18"/>
        </w:rPr>
      </w:pPr>
      <w:r>
        <w:rPr>
          <w:rFonts w:hint="eastAsia" w:ascii="宋体" w:hAnsi="宋体"/>
          <w:b/>
          <w:bCs/>
          <w:sz w:val="18"/>
          <w:szCs w:val="18"/>
        </w:rPr>
        <w:t>★ 在购买理财产品后，投资者应随时关注该理财产品的信息披露情况，及时获取相关信息。可依据本产品登记编码在“中国理财网(www.chinaealth.com.cn)”查询产品信息</w:t>
      </w:r>
    </w:p>
    <w:p>
      <w:pPr>
        <w:rPr>
          <w:rFonts w:ascii="宋体" w:hAnsi="宋体"/>
          <w:b/>
          <w:bCs/>
          <w:sz w:val="18"/>
          <w:szCs w:val="18"/>
        </w:rPr>
      </w:pPr>
      <w:r>
        <w:rPr>
          <w:rFonts w:hint="eastAsia" w:ascii="宋体" w:hAnsi="宋体"/>
          <w:b/>
          <w:bCs/>
          <w:sz w:val="18"/>
          <w:szCs w:val="18"/>
        </w:rPr>
        <w:t>一、产品概述</w:t>
      </w:r>
    </w:p>
    <w:tbl>
      <w:tblPr>
        <w:tblStyle w:val="5"/>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0" w:type="dxa"/>
            <w:vAlign w:val="center"/>
          </w:tcPr>
          <w:p>
            <w:pPr>
              <w:jc w:val="center"/>
              <w:rPr>
                <w:rFonts w:ascii="宋体" w:hAnsi="宋体"/>
                <w:bCs/>
                <w:sz w:val="18"/>
                <w:szCs w:val="18"/>
              </w:rPr>
            </w:pPr>
            <w:r>
              <w:rPr>
                <w:rFonts w:hint="eastAsia" w:ascii="宋体" w:hAnsi="宋体"/>
                <w:bCs/>
                <w:sz w:val="18"/>
                <w:szCs w:val="18"/>
              </w:rPr>
              <w:t>产品名称</w:t>
            </w:r>
          </w:p>
        </w:tc>
        <w:tc>
          <w:tcPr>
            <w:tcW w:w="7229" w:type="dxa"/>
          </w:tcPr>
          <w:p>
            <w:pPr>
              <w:rPr>
                <w:rFonts w:ascii="宋体" w:hAnsi="宋体"/>
                <w:bCs/>
                <w:sz w:val="18"/>
                <w:szCs w:val="18"/>
              </w:rPr>
            </w:pPr>
            <w:r>
              <w:rPr>
                <w:rFonts w:hint="eastAsia" w:ascii="宋体" w:hAnsi="宋体"/>
                <w:bCs/>
                <w:sz w:val="18"/>
                <w:szCs w:val="18"/>
              </w:rPr>
              <w:t>新疆银行</w:t>
            </w:r>
            <w:r>
              <w:rPr>
                <w:rFonts w:hint="eastAsia" w:ascii="宋体" w:hAnsi="宋体"/>
                <w:bCs/>
                <w:sz w:val="18"/>
                <w:szCs w:val="18"/>
                <w:u w:val="single"/>
              </w:rPr>
              <w:t>_金胡杨同业理财20200</w:t>
            </w:r>
            <w:r>
              <w:rPr>
                <w:rFonts w:hint="eastAsia" w:ascii="宋体" w:hAnsi="宋体"/>
                <w:bCs/>
                <w:sz w:val="18"/>
                <w:szCs w:val="18"/>
                <w:u w:val="single"/>
                <w:lang w:val="en-US" w:eastAsia="zh-CN"/>
              </w:rPr>
              <w:t>26</w:t>
            </w:r>
            <w:r>
              <w:rPr>
                <w:rFonts w:hint="eastAsia" w:ascii="宋体" w:hAnsi="宋体"/>
                <w:bCs/>
                <w:sz w:val="18"/>
                <w:szCs w:val="18"/>
                <w:u w:val="single"/>
              </w:rPr>
              <w:t>期</w:t>
            </w:r>
            <w:r>
              <w:rPr>
                <w:rFonts w:hint="eastAsia" w:ascii="宋体" w:hAnsi="宋体"/>
                <w:bCs/>
                <w:sz w:val="18"/>
                <w:szCs w:val="18"/>
              </w:rPr>
              <w:t>人民币同业理财产品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产品登记编码</w:t>
            </w:r>
          </w:p>
        </w:tc>
        <w:tc>
          <w:tcPr>
            <w:tcW w:w="7229" w:type="dxa"/>
          </w:tcPr>
          <w:p>
            <w:pPr>
              <w:rPr>
                <w:rFonts w:hint="default" w:ascii="宋体" w:hAnsi="宋体" w:eastAsia="宋体"/>
                <w:b/>
                <w:bCs/>
                <w:sz w:val="18"/>
                <w:szCs w:val="18"/>
                <w:lang w:val="en-US" w:eastAsia="zh-CN"/>
              </w:rPr>
            </w:pPr>
            <w:r>
              <w:rPr>
                <w:rFonts w:hint="eastAsia" w:ascii="宋体" w:hAnsi="宋体"/>
                <w:b/>
                <w:bCs/>
                <w:sz w:val="18"/>
                <w:szCs w:val="18"/>
                <w:lang w:val="en-US" w:eastAsia="zh-CN"/>
              </w:rPr>
              <w:t>C1364320A000029</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产品类型</w:t>
            </w:r>
          </w:p>
        </w:tc>
        <w:tc>
          <w:tcPr>
            <w:tcW w:w="7229" w:type="dxa"/>
          </w:tcPr>
          <w:p>
            <w:pPr>
              <w:rPr>
                <w:rFonts w:ascii="宋体" w:hAnsi="宋体"/>
                <w:b/>
                <w:bCs/>
                <w:sz w:val="18"/>
                <w:szCs w:val="18"/>
              </w:rPr>
            </w:pPr>
            <w:r>
              <w:rPr>
                <w:rFonts w:hint="eastAsia" w:ascii="宋体" w:hAnsi="宋体"/>
                <w:b/>
                <w:bCs/>
                <w:sz w:val="18"/>
                <w:szCs w:val="18"/>
              </w:rPr>
              <w:t>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产品流动性</w:t>
            </w:r>
          </w:p>
        </w:tc>
        <w:tc>
          <w:tcPr>
            <w:tcW w:w="7229" w:type="dxa"/>
          </w:tcPr>
          <w:p>
            <w:pPr>
              <w:rPr>
                <w:rFonts w:ascii="宋体" w:hAnsi="宋体"/>
                <w:b/>
                <w:bCs/>
                <w:sz w:val="18"/>
                <w:szCs w:val="18"/>
              </w:rPr>
            </w:pPr>
            <w:r>
              <w:rPr>
                <w:rFonts w:hint="eastAsia" w:ascii="宋体" w:hAnsi="宋体"/>
                <w:b/>
                <w:bCs/>
                <w:sz w:val="18"/>
                <w:szCs w:val="18"/>
              </w:rPr>
              <w:t>封闭式（产品成立后不开放申购与赎回）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投资及收益币种</w:t>
            </w:r>
          </w:p>
        </w:tc>
        <w:tc>
          <w:tcPr>
            <w:tcW w:w="7229" w:type="dxa"/>
          </w:tcPr>
          <w:p>
            <w:pPr>
              <w:rPr>
                <w:rFonts w:ascii="宋体" w:hAnsi="宋体"/>
                <w:bCs/>
                <w:sz w:val="18"/>
                <w:szCs w:val="18"/>
              </w:rPr>
            </w:pPr>
            <w:r>
              <w:rPr>
                <w:rFonts w:hint="eastAsia" w:ascii="宋体" w:hAnsi="宋体"/>
                <w:bCs/>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cs="宋体"/>
                <w:bCs/>
                <w:sz w:val="18"/>
                <w:szCs w:val="18"/>
              </w:rPr>
            </w:pPr>
            <w:r>
              <w:rPr>
                <w:rFonts w:hint="eastAsia" w:ascii="宋体" w:hAnsi="宋体" w:cs="宋体"/>
                <w:bCs/>
                <w:sz w:val="18"/>
                <w:szCs w:val="18"/>
              </w:rPr>
              <w:t>产品期限</w:t>
            </w:r>
          </w:p>
        </w:tc>
        <w:tc>
          <w:tcPr>
            <w:tcW w:w="7229" w:type="dxa"/>
          </w:tcPr>
          <w:p>
            <w:pPr>
              <w:rPr>
                <w:rFonts w:ascii="宋体" w:cs="宋体"/>
                <w:b/>
                <w:bCs/>
                <w:sz w:val="18"/>
                <w:szCs w:val="18"/>
              </w:rPr>
            </w:pPr>
            <w:r>
              <w:rPr>
                <w:rFonts w:hint="eastAsia" w:ascii="宋体" w:hAnsi="宋体" w:cs="宋体"/>
                <w:b/>
                <w:bCs/>
                <w:sz w:val="18"/>
                <w:szCs w:val="18"/>
              </w:rPr>
              <w:t>【</w:t>
            </w:r>
            <w:r>
              <w:rPr>
                <w:rFonts w:hint="eastAsia" w:ascii="宋体" w:hAnsi="宋体" w:cs="宋体"/>
                <w:b/>
                <w:bCs/>
                <w:sz w:val="18"/>
                <w:szCs w:val="18"/>
                <w:lang w:val="en-US" w:eastAsia="zh-CN"/>
              </w:rPr>
              <w:t>99</w:t>
            </w:r>
            <w:r>
              <w:rPr>
                <w:rFonts w:hint="eastAsia" w:ascii="宋体" w:hAnsi="宋体" w:cs="宋体"/>
                <w:b/>
                <w:bCs/>
                <w:sz w:val="18"/>
                <w:szCs w:val="18"/>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widowControl/>
              <w:jc w:val="center"/>
              <w:rPr>
                <w:rFonts w:ascii="宋体" w:cs="宋体"/>
                <w:bCs/>
                <w:kern w:val="0"/>
                <w:sz w:val="18"/>
                <w:szCs w:val="18"/>
              </w:rPr>
            </w:pPr>
            <w:r>
              <w:rPr>
                <w:rFonts w:hint="eastAsia" w:ascii="宋体" w:hAnsi="宋体" w:cs="宋体"/>
                <w:bCs/>
                <w:kern w:val="0"/>
                <w:sz w:val="18"/>
                <w:szCs w:val="18"/>
              </w:rPr>
              <w:t>募集规模</w:t>
            </w:r>
          </w:p>
        </w:tc>
        <w:tc>
          <w:tcPr>
            <w:tcW w:w="7229" w:type="dxa"/>
          </w:tcPr>
          <w:p>
            <w:pPr>
              <w:widowControl/>
              <w:jc w:val="left"/>
              <w:rPr>
                <w:rFonts w:ascii="宋体" w:cs="宋体"/>
                <w:kern w:val="0"/>
                <w:sz w:val="18"/>
                <w:szCs w:val="18"/>
              </w:rPr>
            </w:pPr>
            <w:r>
              <w:rPr>
                <w:rFonts w:hint="eastAsia" w:ascii="宋体" w:hAnsi="宋体" w:cs="宋体"/>
                <w:kern w:val="0"/>
                <w:sz w:val="18"/>
                <w:szCs w:val="18"/>
              </w:rPr>
              <w:t>产品规模上限【</w:t>
            </w:r>
            <w:r>
              <w:rPr>
                <w:rFonts w:hint="eastAsia" w:ascii="宋体" w:hAnsi="宋体" w:cs="宋体"/>
                <w:kern w:val="0"/>
                <w:sz w:val="18"/>
                <w:szCs w:val="18"/>
                <w:lang w:val="en-US" w:eastAsia="zh-CN"/>
              </w:rPr>
              <w:t>15000</w:t>
            </w:r>
            <w:r>
              <w:rPr>
                <w:rFonts w:hint="eastAsia" w:ascii="宋体" w:hAnsi="宋体" w:cs="宋体"/>
                <w:kern w:val="0"/>
                <w:sz w:val="18"/>
                <w:szCs w:val="18"/>
              </w:rPr>
              <w:t>】万元，产品成立规模下限【1000】万元。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内部风险评级</w:t>
            </w:r>
          </w:p>
        </w:tc>
        <w:tc>
          <w:tcPr>
            <w:tcW w:w="7229" w:type="dxa"/>
          </w:tcPr>
          <w:p>
            <w:pPr>
              <w:rPr>
                <w:rFonts w:ascii="宋体" w:hAnsi="宋体"/>
                <w:bCs/>
                <w:sz w:val="18"/>
                <w:szCs w:val="18"/>
              </w:rPr>
            </w:pPr>
            <w:r>
              <w:rPr>
                <w:rFonts w:hint="eastAsia" w:ascii="宋体" w:hAnsi="宋体"/>
                <w:bCs/>
                <w:sz w:val="18"/>
                <w:szCs w:val="18"/>
              </w:rPr>
              <w:t>新疆银行理财产品风险评级，本产品属于【</w:t>
            </w:r>
            <w:r>
              <w:rPr>
                <w:rFonts w:hint="eastAsia" w:ascii="宋体" w:hAnsi="宋体"/>
                <w:bCs/>
                <w:sz w:val="18"/>
                <w:szCs w:val="18"/>
                <w:lang w:eastAsia="zh-CN"/>
              </w:rPr>
              <w:t>□低风险、■中低风险、□中等风险、□较高风险、□高风险</w:t>
            </w:r>
            <w:r>
              <w:rPr>
                <w:rFonts w:ascii="宋体" w:hAnsi="宋体"/>
                <w:bCs/>
                <w:sz w:val="18"/>
                <w:szCs w:val="18"/>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提前终止权</w:t>
            </w:r>
          </w:p>
        </w:tc>
        <w:tc>
          <w:tcPr>
            <w:tcW w:w="7229" w:type="dxa"/>
          </w:tcPr>
          <w:p>
            <w:pPr>
              <w:rPr>
                <w:rFonts w:ascii="宋体" w:hAnsi="宋体"/>
                <w:bCs/>
                <w:sz w:val="18"/>
                <w:szCs w:val="18"/>
              </w:rPr>
            </w:pPr>
            <w:r>
              <w:rPr>
                <w:rFonts w:hint="eastAsia" w:ascii="宋体" w:hAnsi="宋体" w:cs="宋体"/>
                <w:bCs/>
                <w:sz w:val="18"/>
                <w:szCs w:val="18"/>
              </w:rPr>
              <w:t>客户无权提前终止该产品；在产品运作期间内，银行有权视产品运行情况提前终止本理财产品，详见“产品提前终止”条款。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cs="宋体"/>
                <w:bCs/>
                <w:sz w:val="18"/>
                <w:szCs w:val="18"/>
              </w:rPr>
            </w:pPr>
            <w:r>
              <w:rPr>
                <w:rFonts w:hint="eastAsia" w:ascii="宋体" w:hAnsi="宋体" w:cs="宋体"/>
                <w:bCs/>
                <w:sz w:val="18"/>
                <w:szCs w:val="18"/>
              </w:rPr>
              <w:t>申购/赎回</w:t>
            </w:r>
          </w:p>
        </w:tc>
        <w:tc>
          <w:tcPr>
            <w:tcW w:w="7229" w:type="dxa"/>
          </w:tcPr>
          <w:p>
            <w:pPr>
              <w:rPr>
                <w:rFonts w:ascii="宋体" w:hAnsi="宋体" w:cs="宋体"/>
                <w:bCs/>
                <w:sz w:val="18"/>
                <w:szCs w:val="18"/>
              </w:rPr>
            </w:pPr>
            <w:r>
              <w:rPr>
                <w:rFonts w:hint="eastAsia" w:ascii="宋体" w:hAnsi="宋体" w:cs="宋体"/>
                <w:bCs/>
                <w:sz w:val="18"/>
                <w:szCs w:val="18"/>
              </w:rPr>
              <w:t>本产品为封闭式理财产品，除本说明书特别约定外，产品成立后不开放申购与赎回。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募集期</w:t>
            </w:r>
          </w:p>
        </w:tc>
        <w:tc>
          <w:tcPr>
            <w:tcW w:w="7229" w:type="dxa"/>
          </w:tcPr>
          <w:p>
            <w:pPr>
              <w:widowControl/>
              <w:jc w:val="left"/>
            </w:pPr>
            <w:r>
              <w:rPr>
                <w:rFonts w:hint="eastAsia" w:ascii="宋体" w:hAnsi="宋体" w:cs="仿宋_GB2312"/>
                <w:color w:val="000000" w:themeColor="text1"/>
                <w:kern w:val="0"/>
                <w:sz w:val="18"/>
                <w:szCs w:val="18"/>
                <w14:textFill>
                  <w14:solidFill>
                    <w14:schemeClr w14:val="tx1"/>
                  </w14:solidFill>
                </w14:textFill>
              </w:rPr>
              <w:t>【2020】年【</w:t>
            </w:r>
            <w:r>
              <w:rPr>
                <w:rFonts w:hint="eastAsia" w:ascii="宋体" w:hAnsi="宋体" w:cs="仿宋_GB2312"/>
                <w:color w:val="000000" w:themeColor="text1"/>
                <w:kern w:val="0"/>
                <w:sz w:val="18"/>
                <w:szCs w:val="18"/>
                <w:lang w:val="en-US" w:eastAsia="zh-CN"/>
                <w14:textFill>
                  <w14:solidFill>
                    <w14:schemeClr w14:val="tx1"/>
                  </w14:solidFill>
                </w14:textFill>
              </w:rPr>
              <w:t>08</w:t>
            </w:r>
            <w:r>
              <w:rPr>
                <w:rFonts w:hint="eastAsia" w:ascii="宋体" w:hAnsi="宋体" w:cs="仿宋_GB2312"/>
                <w:color w:val="000000" w:themeColor="text1"/>
                <w:kern w:val="0"/>
                <w:sz w:val="18"/>
                <w:szCs w:val="18"/>
                <w14:textFill>
                  <w14:solidFill>
                    <w14:schemeClr w14:val="tx1"/>
                  </w14:solidFill>
                </w14:textFill>
              </w:rPr>
              <w:t>】月【</w:t>
            </w:r>
            <w:r>
              <w:rPr>
                <w:rFonts w:hint="eastAsia" w:ascii="宋体" w:hAnsi="宋体" w:cs="仿宋_GB2312"/>
                <w:color w:val="000000" w:themeColor="text1"/>
                <w:kern w:val="0"/>
                <w:sz w:val="18"/>
                <w:szCs w:val="18"/>
                <w:lang w:val="en-US" w:eastAsia="zh-CN"/>
                <w14:textFill>
                  <w14:solidFill>
                    <w14:schemeClr w14:val="tx1"/>
                  </w14:solidFill>
                </w14:textFill>
              </w:rPr>
              <w:t>19</w:t>
            </w:r>
            <w:r>
              <w:rPr>
                <w:rFonts w:hint="eastAsia" w:ascii="宋体" w:hAnsi="宋体" w:cs="仿宋_GB2312"/>
                <w:color w:val="000000" w:themeColor="text1"/>
                <w:kern w:val="0"/>
                <w:sz w:val="18"/>
                <w:szCs w:val="18"/>
                <w14:textFill>
                  <w14:solidFill>
                    <w14:schemeClr w14:val="tx1"/>
                  </w14:solidFill>
                </w14:textFill>
              </w:rPr>
              <w:t>】日。</w:t>
            </w:r>
            <w:r>
              <w:rPr>
                <w:rFonts w:hint="eastAsia" w:ascii="宋体" w:hAnsi="宋体" w:cs="宋体"/>
                <w:bCs/>
                <w:color w:val="000000" w:themeColor="text1"/>
                <w:kern w:val="0"/>
                <w:sz w:val="18"/>
                <w:szCs w:val="18"/>
                <w14:textFill>
                  <w14:solidFill>
                    <w14:schemeClr w14:val="tx1"/>
                  </w14:solidFill>
                </w14:textFill>
              </w:rPr>
              <w:t>即客</w:t>
            </w:r>
            <w:r>
              <w:rPr>
                <w:rFonts w:hint="eastAsia" w:ascii="宋体" w:hAnsi="宋体" w:cs="宋体"/>
                <w:bCs/>
                <w:kern w:val="0"/>
                <w:sz w:val="18"/>
                <w:szCs w:val="18"/>
              </w:rPr>
              <w:t>户可以购买本产品的时间段。客户在募集期内认购本理财产品后</w:t>
            </w:r>
            <w:r>
              <w:rPr>
                <w:rFonts w:hint="eastAsia" w:ascii="宋体" w:cs="宋体"/>
                <w:bCs/>
                <w:kern w:val="0"/>
                <w:sz w:val="18"/>
                <w:szCs w:val="18"/>
              </w:rPr>
              <w:t>，</w:t>
            </w:r>
            <w:r>
              <w:rPr>
                <w:rFonts w:hint="eastAsia" w:ascii="宋体" w:hAnsi="宋体" w:cs="宋体"/>
                <w:bCs/>
                <w:kern w:val="0"/>
                <w:sz w:val="18"/>
                <w:szCs w:val="18"/>
              </w:rPr>
              <w:t>理财资金将在成立日开始进行投资，募集期内，您购买理财的资金按照活期存款利率计息，</w:t>
            </w:r>
            <w:r>
              <w:rPr>
                <w:rFonts w:hint="eastAsia" w:ascii="宋体" w:hAnsi="宋体" w:cs="宋体"/>
                <w:bCs/>
                <w:sz w:val="18"/>
                <w:szCs w:val="18"/>
              </w:rPr>
              <w:t>募集期内的利息不计入认购本金份额</w:t>
            </w:r>
            <w:r>
              <w:rPr>
                <w:rFonts w:hint="eastAsia" w:ascii="宋体" w:hAnsi="宋体" w:cs="宋体"/>
                <w:bCs/>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成立日</w:t>
            </w:r>
          </w:p>
        </w:tc>
        <w:tc>
          <w:tcPr>
            <w:tcW w:w="7229" w:type="dxa"/>
          </w:tcPr>
          <w:p>
            <w:pPr>
              <w:rPr>
                <w:rFonts w:ascii="宋体" w:hAnsi="宋体"/>
                <w:bCs/>
                <w:sz w:val="18"/>
                <w:szCs w:val="18"/>
              </w:rPr>
            </w:pPr>
            <w:r>
              <w:rPr>
                <w:rFonts w:hint="eastAsia" w:ascii="宋体" w:hAnsi="宋体"/>
                <w:bCs/>
                <w:color w:val="000000" w:themeColor="text1"/>
                <w:sz w:val="18"/>
                <w:szCs w:val="18"/>
                <w14:textFill>
                  <w14:solidFill>
                    <w14:schemeClr w14:val="tx1"/>
                  </w14:solidFill>
                </w14:textFill>
              </w:rPr>
              <w:t>【2020】年【</w:t>
            </w:r>
            <w:r>
              <w:rPr>
                <w:rFonts w:hint="eastAsia" w:ascii="宋体" w:hAnsi="宋体"/>
                <w:bCs/>
                <w:color w:val="000000" w:themeColor="text1"/>
                <w:sz w:val="18"/>
                <w:szCs w:val="18"/>
                <w:lang w:val="en-US" w:eastAsia="zh-CN"/>
                <w14:textFill>
                  <w14:solidFill>
                    <w14:schemeClr w14:val="tx1"/>
                  </w14:solidFill>
                </w14:textFill>
              </w:rPr>
              <w:t>08</w:t>
            </w:r>
            <w:r>
              <w:rPr>
                <w:rFonts w:hint="eastAsia" w:ascii="宋体" w:hAnsi="宋体"/>
                <w:bCs/>
                <w:color w:val="000000" w:themeColor="text1"/>
                <w:sz w:val="18"/>
                <w:szCs w:val="18"/>
                <w14:textFill>
                  <w14:solidFill>
                    <w14:schemeClr w14:val="tx1"/>
                  </w14:solidFill>
                </w14:textFill>
              </w:rPr>
              <w:t>】月【</w:t>
            </w:r>
            <w:r>
              <w:rPr>
                <w:rFonts w:hint="eastAsia" w:ascii="宋体" w:hAnsi="宋体"/>
                <w:bCs/>
                <w:color w:val="000000" w:themeColor="text1"/>
                <w:sz w:val="18"/>
                <w:szCs w:val="18"/>
                <w:lang w:val="en-US" w:eastAsia="zh-CN"/>
                <w14:textFill>
                  <w14:solidFill>
                    <w14:schemeClr w14:val="tx1"/>
                  </w14:solidFill>
                </w14:textFill>
              </w:rPr>
              <w:t>19</w:t>
            </w:r>
            <w:r>
              <w:rPr>
                <w:rFonts w:hint="eastAsia" w:ascii="宋体" w:hAnsi="宋体"/>
                <w:bCs/>
                <w:color w:val="000000" w:themeColor="text1"/>
                <w:sz w:val="18"/>
                <w:szCs w:val="18"/>
                <w14:textFill>
                  <w14:solidFill>
                    <w14:schemeClr w14:val="tx1"/>
                  </w14:solidFill>
                </w14:textFill>
              </w:rPr>
              <w:t>】日，</w:t>
            </w:r>
            <w:r>
              <w:rPr>
                <w:rFonts w:hint="eastAsia" w:ascii="宋体" w:hAnsi="宋体" w:cs="宋体"/>
                <w:color w:val="000000" w:themeColor="text1"/>
                <w:kern w:val="0"/>
                <w:sz w:val="18"/>
                <w:szCs w:val="18"/>
                <w14:textFill>
                  <w14:solidFill>
                    <w14:schemeClr w14:val="tx1"/>
                  </w14:solidFill>
                </w14:textFill>
              </w:rPr>
              <w:t>理</w:t>
            </w:r>
            <w:r>
              <w:rPr>
                <w:rFonts w:hint="eastAsia" w:ascii="宋体" w:hAnsi="宋体" w:cs="宋体"/>
                <w:kern w:val="0"/>
                <w:sz w:val="18"/>
                <w:szCs w:val="18"/>
              </w:rPr>
              <w:t>财产品自成立日起计算理财收益。</w:t>
            </w:r>
            <w:r>
              <w:rPr>
                <w:rFonts w:hint="eastAsia" w:ascii="宋体" w:hAnsi="宋体" w:cs="宋体"/>
                <w:bCs/>
                <w:kern w:val="0"/>
                <w:sz w:val="18"/>
                <w:szCs w:val="18"/>
              </w:rPr>
              <w:t>在正常情况下，产品的成立日为募集期结束当日。但在以下两种情形除外：（</w:t>
            </w:r>
            <w:r>
              <w:rPr>
                <w:rFonts w:ascii="宋体" w:hAnsi="宋体" w:cs="宋体"/>
                <w:bCs/>
                <w:kern w:val="0"/>
                <w:sz w:val="18"/>
                <w:szCs w:val="18"/>
              </w:rPr>
              <w:t>1</w:t>
            </w:r>
            <w:r>
              <w:rPr>
                <w:rFonts w:hint="eastAsia" w:ascii="宋体" w:hAnsi="宋体" w:cs="宋体"/>
                <w:bCs/>
                <w:kern w:val="0"/>
                <w:sz w:val="18"/>
                <w:szCs w:val="18"/>
              </w:rPr>
              <w:t>）若在募集期届满之前募集资金已经达到产品募集上限，新疆银行有权提前结束募集并提前成立该理财产品，产品提前成立时银行将调整成立日期；（</w:t>
            </w:r>
            <w:r>
              <w:rPr>
                <w:rFonts w:ascii="宋体" w:hAnsi="宋体" w:cs="宋体"/>
                <w:bCs/>
                <w:kern w:val="0"/>
                <w:sz w:val="18"/>
                <w:szCs w:val="18"/>
              </w:rPr>
              <w:t>2</w:t>
            </w:r>
            <w:r>
              <w:rPr>
                <w:rFonts w:hint="eastAsia" w:ascii="宋体" w:hAnsi="宋体" w:cs="宋体"/>
                <w:bCs/>
                <w:kern w:val="0"/>
                <w:sz w:val="18"/>
                <w:szCs w:val="18"/>
              </w:rPr>
              <w:t>）若在募集期届满之日未达到产品募集下限，新疆银行有权选择本产品不能成立，理财本金将在募集期结束后</w:t>
            </w:r>
            <w:r>
              <w:rPr>
                <w:rFonts w:ascii="宋体" w:hAnsi="宋体" w:cs="宋体"/>
                <w:bCs/>
                <w:kern w:val="0"/>
                <w:sz w:val="18"/>
                <w:szCs w:val="18"/>
              </w:rPr>
              <w:t>3</w:t>
            </w:r>
            <w:r>
              <w:rPr>
                <w:rFonts w:hint="eastAsia" w:ascii="宋体" w:hAnsi="宋体" w:cs="宋体"/>
                <w:bCs/>
                <w:kern w:val="0"/>
                <w:sz w:val="18"/>
                <w:szCs w:val="18"/>
              </w:rPr>
              <w:t>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到期日</w:t>
            </w:r>
          </w:p>
        </w:tc>
        <w:tc>
          <w:tcPr>
            <w:tcW w:w="7229" w:type="dxa"/>
          </w:tcPr>
          <w:p>
            <w:pPr>
              <w:rPr>
                <w:rFonts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【202</w:t>
            </w:r>
            <w:r>
              <w:rPr>
                <w:rFonts w:hint="eastAsia" w:ascii="宋体" w:hAnsi="宋体" w:cs="宋体"/>
                <w:bCs/>
                <w:color w:val="000000" w:themeColor="text1"/>
                <w:sz w:val="18"/>
                <w:szCs w:val="18"/>
                <w:lang w:val="en-US" w:eastAsia="zh-CN"/>
                <w14:textFill>
                  <w14:solidFill>
                    <w14:schemeClr w14:val="tx1"/>
                  </w14:solidFill>
                </w14:textFill>
              </w:rPr>
              <w:t>0</w:t>
            </w:r>
            <w:r>
              <w:rPr>
                <w:rFonts w:hint="eastAsia" w:ascii="宋体" w:hAnsi="宋体" w:cs="宋体"/>
                <w:bCs/>
                <w:color w:val="000000" w:themeColor="text1"/>
                <w:sz w:val="18"/>
                <w:szCs w:val="18"/>
                <w14:textFill>
                  <w14:solidFill>
                    <w14:schemeClr w14:val="tx1"/>
                  </w14:solidFill>
                </w14:textFill>
              </w:rPr>
              <w:t>】年</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11</w:t>
            </w:r>
            <w:r>
              <w:rPr>
                <w:rFonts w:hint="eastAsia" w:ascii="宋体" w:hAnsi="宋体" w:cs="宋体"/>
                <w:bCs/>
                <w:color w:val="000000" w:themeColor="text1"/>
                <w:sz w:val="18"/>
                <w:szCs w:val="18"/>
                <w14:textFill>
                  <w14:solidFill>
                    <w14:schemeClr w14:val="tx1"/>
                  </w14:solidFill>
                </w14:textFill>
              </w:rPr>
              <w:t>】月【</w:t>
            </w:r>
            <w:r>
              <w:rPr>
                <w:rFonts w:hint="eastAsia" w:ascii="宋体" w:hAnsi="宋体" w:cs="宋体"/>
                <w:bCs/>
                <w:color w:val="000000" w:themeColor="text1"/>
                <w:sz w:val="18"/>
                <w:szCs w:val="18"/>
                <w:lang w:val="en-US" w:eastAsia="zh-CN"/>
                <w14:textFill>
                  <w14:solidFill>
                    <w14:schemeClr w14:val="tx1"/>
                  </w14:solidFill>
                </w14:textFill>
              </w:rPr>
              <w:t>26</w:t>
            </w:r>
            <w:r>
              <w:rPr>
                <w:rFonts w:hint="eastAsia" w:ascii="宋体" w:hAnsi="宋体" w:cs="宋体"/>
                <w:bCs/>
                <w:color w:val="000000" w:themeColor="text1"/>
                <w:sz w:val="18"/>
                <w:szCs w:val="18"/>
                <w14:textFill>
                  <w14:solidFill>
                    <w14:schemeClr w14:val="tx1"/>
                  </w14:solidFill>
                </w14:textFill>
              </w:rPr>
              <w:t>】日，到期日（或提前终止日）至兑付日之间客户资金不计收益。如遇非工作日则顺延至其后第一个工作日，</w:t>
            </w:r>
            <w:r>
              <w:rPr>
                <w:rFonts w:hint="eastAsia" w:ascii="宋体" w:hAnsi="宋体" w:cs="宋体"/>
                <w:bCs/>
                <w:color w:val="000000" w:themeColor="text1"/>
                <w:kern w:val="0"/>
                <w:sz w:val="18"/>
                <w:szCs w:val="18"/>
                <w14:textFill>
                  <w14:solidFill>
                    <w14:schemeClr w14:val="tx1"/>
                  </w14:solidFill>
                </w14:textFill>
              </w:rPr>
              <w:t>实际产品到期日、理财运作期限受制于银行提前终止条款。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兑付日</w:t>
            </w:r>
          </w:p>
        </w:tc>
        <w:tc>
          <w:tcPr>
            <w:tcW w:w="7229" w:type="dxa"/>
          </w:tcPr>
          <w:p>
            <w:pP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【202</w:t>
            </w:r>
            <w:r>
              <w:rPr>
                <w:rFonts w:hint="eastAsia" w:ascii="宋体" w:hAnsi="宋体"/>
                <w:bCs/>
                <w:color w:val="000000" w:themeColor="text1"/>
                <w:sz w:val="18"/>
                <w:szCs w:val="18"/>
                <w:lang w:val="en-US" w:eastAsia="zh-CN"/>
                <w14:textFill>
                  <w14:solidFill>
                    <w14:schemeClr w14:val="tx1"/>
                  </w14:solidFill>
                </w14:textFill>
              </w:rPr>
              <w:t>0</w:t>
            </w:r>
            <w:r>
              <w:rPr>
                <w:rFonts w:hint="eastAsia" w:ascii="宋体" w:hAnsi="宋体"/>
                <w:bCs/>
                <w:color w:val="000000" w:themeColor="text1"/>
                <w:sz w:val="18"/>
                <w:szCs w:val="18"/>
                <w14:textFill>
                  <w14:solidFill>
                    <w14:schemeClr w14:val="tx1"/>
                  </w14:solidFill>
                </w14:textFill>
              </w:rPr>
              <w:t>】年【</w:t>
            </w:r>
            <w:r>
              <w:rPr>
                <w:rFonts w:hint="eastAsia" w:ascii="宋体" w:hAnsi="宋体"/>
                <w:bCs/>
                <w:color w:val="000000" w:themeColor="text1"/>
                <w:sz w:val="18"/>
                <w:szCs w:val="18"/>
                <w:lang w:val="en-US" w:eastAsia="zh-CN"/>
                <w14:textFill>
                  <w14:solidFill>
                    <w14:schemeClr w14:val="tx1"/>
                  </w14:solidFill>
                </w14:textFill>
              </w:rPr>
              <w:t>11</w:t>
            </w:r>
            <w:r>
              <w:rPr>
                <w:rFonts w:hint="eastAsia" w:ascii="宋体" w:hAnsi="宋体"/>
                <w:bCs/>
                <w:color w:val="000000" w:themeColor="text1"/>
                <w:sz w:val="18"/>
                <w:szCs w:val="18"/>
                <w14:textFill>
                  <w14:solidFill>
                    <w14:schemeClr w14:val="tx1"/>
                  </w14:solidFill>
                </w14:textFill>
              </w:rPr>
              <w:t>】月【</w:t>
            </w:r>
            <w:r>
              <w:rPr>
                <w:rFonts w:hint="eastAsia" w:ascii="宋体" w:hAnsi="宋体"/>
                <w:bCs/>
                <w:color w:val="000000" w:themeColor="text1"/>
                <w:sz w:val="18"/>
                <w:szCs w:val="18"/>
                <w:lang w:val="en-US" w:eastAsia="zh-CN"/>
                <w14:textFill>
                  <w14:solidFill>
                    <w14:schemeClr w14:val="tx1"/>
                  </w14:solidFill>
                </w14:textFill>
              </w:rPr>
              <w:t>26</w:t>
            </w:r>
            <w:r>
              <w:rPr>
                <w:rFonts w:hint="eastAsia" w:ascii="宋体" w:hAnsi="宋体"/>
                <w:bCs/>
                <w:color w:val="000000" w:themeColor="text1"/>
                <w:sz w:val="18"/>
                <w:szCs w:val="18"/>
                <w14:textFill>
                  <w14:solidFill>
                    <w14:schemeClr w14:val="tx1"/>
                  </w14:solidFill>
                </w14:textFill>
              </w:rPr>
              <w:t>】日，兑付日是客户理财资金到账日，</w:t>
            </w:r>
            <w:r>
              <w:rPr>
                <w:rFonts w:hint="eastAsia" w:ascii="宋体" w:hAnsi="宋体" w:cs="宋体"/>
                <w:bCs/>
                <w:color w:val="000000" w:themeColor="text1"/>
                <w:sz w:val="18"/>
                <w:szCs w:val="18"/>
                <w14:textFill>
                  <w14:solidFill>
                    <w14:schemeClr w14:val="tx1"/>
                  </w14:solidFill>
                </w14:textFill>
              </w:rPr>
              <w:t>如遇非工作日则顺延至节后第一个工作日，</w:t>
            </w:r>
            <w:r>
              <w:rPr>
                <w:rFonts w:hint="eastAsia" w:ascii="宋体" w:hAnsi="宋体"/>
                <w:bCs/>
                <w:color w:val="000000" w:themeColor="text1"/>
                <w:sz w:val="18"/>
                <w:szCs w:val="18"/>
                <w14:textFill>
                  <w14:solidFill>
                    <w14:schemeClr w14:val="tx1"/>
                  </w14:solidFill>
                </w14:textFill>
              </w:rPr>
              <w:t>理财资金到账时间一般情况下不晚于兑付日日终，特殊情况下可延后至兑付日下一工作日日终。如发生延后至兑付日下一工作日日终的特殊情况，新疆银行将通过其各营业网点或新疆银行官方网站</w:t>
            </w:r>
            <w:r>
              <w:rPr>
                <w:rFonts w:hint="eastAsia" w:ascii="宋体" w:hAnsi="宋体" w:cs="宋体"/>
                <w:bCs/>
                <w:color w:val="000000" w:themeColor="text1"/>
                <w:kern w:val="0"/>
                <w:sz w:val="18"/>
                <w:szCs w:val="18"/>
                <w14:textFill>
                  <w14:solidFill>
                    <w14:schemeClr w14:val="tx1"/>
                  </w14:solidFill>
                </w14:textFill>
              </w:rPr>
              <w:t>（网址：</w:t>
            </w:r>
            <w:r>
              <w:rPr>
                <w:rFonts w:ascii="宋体" w:hAnsi="宋体" w:cs="宋体"/>
                <w:bCs/>
                <w:color w:val="000000" w:themeColor="text1"/>
                <w:kern w:val="0"/>
                <w:sz w:val="18"/>
                <w:szCs w:val="18"/>
                <w14:textFill>
                  <w14:solidFill>
                    <w14:schemeClr w14:val="tx1"/>
                  </w14:solidFill>
                </w14:textFill>
              </w:rPr>
              <w:t>www.xjbank.com</w:t>
            </w:r>
            <w:r>
              <w:rPr>
                <w:rFonts w:hint="eastAsia" w:ascii="宋体" w:hAnsi="宋体" w:cs="宋体"/>
                <w:bCs/>
                <w:color w:val="000000" w:themeColor="text1"/>
                <w:kern w:val="0"/>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bCs/>
                <w:sz w:val="18"/>
                <w:szCs w:val="18"/>
              </w:rPr>
            </w:pPr>
            <w:r>
              <w:rPr>
                <w:rFonts w:hint="eastAsia" w:ascii="宋体" w:hAnsi="宋体"/>
                <w:bCs/>
                <w:sz w:val="18"/>
                <w:szCs w:val="18"/>
              </w:rPr>
              <w:t>银行管理费率（年）</w:t>
            </w:r>
          </w:p>
        </w:tc>
        <w:tc>
          <w:tcPr>
            <w:tcW w:w="7229" w:type="dxa"/>
          </w:tcPr>
          <w:p>
            <w:pPr>
              <w:widowControl/>
              <w:ind w:right="-107" w:rightChars="-51"/>
              <w:jc w:val="left"/>
            </w:pPr>
            <w:r>
              <w:rPr>
                <w:rFonts w:hint="eastAsia" w:ascii="宋体" w:hAnsi="宋体" w:cs="宋体"/>
                <w:bCs/>
                <w:kern w:val="0"/>
                <w:sz w:val="18"/>
                <w:szCs w:val="18"/>
              </w:rPr>
              <w:t>理财产品费用包含销售管理费、产品托管费以及投资管理费等相关费用。</w:t>
            </w:r>
          </w:p>
          <w:p>
            <w:pPr>
              <w:widowControl/>
              <w:ind w:right="-107" w:rightChars="-51"/>
              <w:jc w:val="left"/>
            </w:pPr>
            <w:r>
              <w:rPr>
                <w:rFonts w:hint="eastAsia" w:ascii="宋体" w:hAnsi="宋体" w:cs="宋体"/>
                <w:b/>
                <w:bCs/>
                <w:kern w:val="0"/>
                <w:sz w:val="18"/>
                <w:szCs w:val="18"/>
              </w:rPr>
              <w:t>销售管理费</w:t>
            </w:r>
            <w:r>
              <w:rPr>
                <w:rFonts w:hint="eastAsia" w:ascii="宋体" w:hAnsi="宋体" w:cs="宋体"/>
                <w:bCs/>
                <w:kern w:val="0"/>
                <w:sz w:val="18"/>
                <w:szCs w:val="18"/>
              </w:rPr>
              <w:t>：年化费率为【0】</w:t>
            </w:r>
            <w:r>
              <w:rPr>
                <w:rFonts w:ascii="宋体" w:hAnsi="宋体" w:cs="宋体"/>
                <w:bCs/>
                <w:kern w:val="0"/>
                <w:sz w:val="18"/>
                <w:szCs w:val="18"/>
              </w:rPr>
              <w:t>%</w:t>
            </w:r>
            <w:r>
              <w:rPr>
                <w:rFonts w:hint="eastAsia" w:ascii="宋体" w:hAnsi="宋体" w:cs="宋体"/>
                <w:bCs/>
                <w:kern w:val="0"/>
                <w:sz w:val="18"/>
                <w:szCs w:val="18"/>
              </w:rPr>
              <w:t>。</w:t>
            </w:r>
          </w:p>
          <w:p>
            <w:pPr>
              <w:widowControl/>
              <w:ind w:right="-107" w:rightChars="-51"/>
              <w:jc w:val="left"/>
            </w:pPr>
            <w:r>
              <w:rPr>
                <w:rFonts w:hint="eastAsia" w:ascii="宋体" w:hAnsi="宋体" w:cs="宋体"/>
                <w:b/>
                <w:bCs/>
                <w:kern w:val="0"/>
                <w:sz w:val="18"/>
                <w:szCs w:val="18"/>
              </w:rPr>
              <w:t>产品托管费</w:t>
            </w:r>
            <w:r>
              <w:rPr>
                <w:rFonts w:hint="eastAsia" w:ascii="宋体" w:hAnsi="宋体" w:cs="宋体"/>
                <w:bCs/>
                <w:kern w:val="0"/>
                <w:sz w:val="18"/>
                <w:szCs w:val="18"/>
              </w:rPr>
              <w:t>：根据理财本金，按日计算，在产品到期兑付时一次性收取，年化费率为【0.01】</w:t>
            </w:r>
            <w:r>
              <w:rPr>
                <w:rFonts w:ascii="宋体" w:hAnsi="宋体" w:cs="宋体"/>
                <w:bCs/>
                <w:kern w:val="0"/>
                <w:sz w:val="18"/>
                <w:szCs w:val="18"/>
              </w:rPr>
              <w:t>%</w:t>
            </w:r>
            <w:r>
              <w:rPr>
                <w:rFonts w:hint="eastAsia" w:ascii="宋体" w:hAnsi="宋体" w:cs="宋体"/>
                <w:bCs/>
                <w:kern w:val="0"/>
                <w:sz w:val="18"/>
                <w:szCs w:val="18"/>
              </w:rPr>
              <w:t>。</w:t>
            </w:r>
          </w:p>
          <w:p>
            <w:pPr>
              <w:ind w:right="-107" w:rightChars="-51"/>
              <w:rPr>
                <w:rFonts w:ascii="宋体" w:hAnsi="宋体"/>
                <w:bCs/>
                <w:sz w:val="18"/>
                <w:szCs w:val="18"/>
              </w:rPr>
            </w:pPr>
            <w:r>
              <w:rPr>
                <w:rFonts w:hint="eastAsia" w:ascii="宋体" w:hAnsi="宋体" w:cs="宋体"/>
                <w:b/>
                <w:bCs/>
                <w:color w:val="000000"/>
                <w:kern w:val="0"/>
                <w:sz w:val="18"/>
                <w:szCs w:val="18"/>
              </w:rPr>
              <w:t>投资管理费</w:t>
            </w:r>
            <w:r>
              <w:rPr>
                <w:rFonts w:hint="eastAsia" w:ascii="宋体" w:hAnsi="宋体" w:cs="宋体"/>
                <w:bCs/>
                <w:color w:val="000000"/>
                <w:kern w:val="0"/>
                <w:sz w:val="18"/>
                <w:szCs w:val="18"/>
              </w:rPr>
              <w:t>：理财产品的投资管理人（</w:t>
            </w:r>
            <w:r>
              <w:rPr>
                <w:rFonts w:hint="eastAsia" w:ascii="宋体" w:hAnsi="宋体" w:cs="宋体"/>
                <w:bCs/>
                <w:color w:val="000000" w:themeColor="text1"/>
                <w:kern w:val="0"/>
                <w:sz w:val="18"/>
                <w:szCs w:val="18"/>
                <w14:textFill>
                  <w14:solidFill>
                    <w14:schemeClr w14:val="tx1"/>
                  </w14:solidFill>
                </w14:textFill>
              </w:rPr>
              <w:t>新疆银行</w:t>
            </w:r>
            <w:r>
              <w:rPr>
                <w:rFonts w:hint="eastAsia" w:ascii="宋体" w:hAnsi="宋体" w:cs="宋体"/>
                <w:bCs/>
                <w:color w:val="000000"/>
                <w:kern w:val="0"/>
                <w:sz w:val="18"/>
                <w:szCs w:val="18"/>
              </w:rPr>
              <w:t>）或根据产品规定委托的第三方投资顾问，有权获取投资管理费。本理财计划投资运作超出本产品的参考年化收益及销售管理费、产品托管费等规定费率后的剩余部分为投资管理费。若理财产品实际投资收益等于或小于本产品的参考年化收益、托管费及销售管理费之和，新疆银行不收取投资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Borders>
              <w:bottom w:val="single" w:color="auto" w:sz="4" w:space="0"/>
            </w:tcBorders>
            <w:vAlign w:val="center"/>
          </w:tcPr>
          <w:p>
            <w:pPr>
              <w:jc w:val="center"/>
              <w:rPr>
                <w:rFonts w:ascii="宋体" w:hAnsi="宋体"/>
                <w:bCs/>
                <w:sz w:val="18"/>
                <w:szCs w:val="18"/>
              </w:rPr>
            </w:pPr>
            <w:r>
              <w:rPr>
                <w:rFonts w:hint="eastAsia" w:ascii="宋体" w:hAnsi="宋体"/>
                <w:bCs/>
                <w:sz w:val="18"/>
                <w:szCs w:val="18"/>
              </w:rPr>
              <w:t>理财产品参考年化收益率</w:t>
            </w:r>
          </w:p>
        </w:tc>
        <w:tc>
          <w:tcPr>
            <w:tcW w:w="7229" w:type="dxa"/>
            <w:tcBorders>
              <w:bottom w:val="single" w:color="auto" w:sz="4" w:space="0"/>
            </w:tcBorders>
          </w:tcPr>
          <w:p>
            <w:pPr>
              <w:ind w:right="-107" w:rightChars="-51"/>
              <w:rPr>
                <w:rFonts w:ascii="宋体" w:hAnsi="宋体"/>
                <w:bCs/>
                <w:sz w:val="18"/>
                <w:szCs w:val="18"/>
              </w:rPr>
            </w:pPr>
            <w:r>
              <w:rPr>
                <w:rFonts w:hint="eastAsia" w:ascii="宋体" w:hAnsi="宋体" w:cs="宋体"/>
                <w:bCs/>
                <w:kern w:val="0"/>
                <w:sz w:val="18"/>
                <w:szCs w:val="18"/>
              </w:rPr>
              <w:t>本产品的参考年化收益率</w:t>
            </w:r>
            <w:r>
              <w:rPr>
                <w:rFonts w:hint="eastAsia" w:ascii="宋体" w:hAnsi="宋体" w:cs="宋体"/>
                <w:bCs/>
                <w:color w:val="000000" w:themeColor="text1"/>
                <w:sz w:val="18"/>
                <w:szCs w:val="18"/>
                <w14:textFill>
                  <w14:solidFill>
                    <w14:schemeClr w14:val="tx1"/>
                  </w14:solidFill>
                </w14:textFill>
              </w:rPr>
              <w:t>【</w:t>
            </w:r>
            <w:r>
              <w:rPr>
                <w:rFonts w:hint="eastAsia" w:ascii="宋体" w:hAnsi="宋体" w:cs="宋体"/>
                <w:bCs/>
                <w:color w:val="000000" w:themeColor="text1"/>
                <w:sz w:val="18"/>
                <w:szCs w:val="18"/>
                <w:lang w:val="en-US" w:eastAsia="zh-CN"/>
                <w14:textFill>
                  <w14:solidFill>
                    <w14:schemeClr w14:val="tx1"/>
                  </w14:solidFill>
                </w14:textFill>
              </w:rPr>
              <w:t>3.1</w:t>
            </w:r>
            <w:r>
              <w:rPr>
                <w:rFonts w:hint="eastAsia" w:ascii="宋体" w:hAnsi="宋体" w:cs="宋体"/>
                <w:bCs/>
                <w:color w:val="000000" w:themeColor="text1"/>
                <w:sz w:val="18"/>
                <w:szCs w:val="18"/>
                <w14:textFill>
                  <w14:solidFill>
                    <w14:schemeClr w14:val="tx1"/>
                  </w14:solidFill>
                </w14:textFill>
              </w:rPr>
              <w:t>】</w:t>
            </w:r>
            <w:r>
              <w:rPr>
                <w:rFonts w:hint="eastAsia" w:ascii="宋体" w:hAnsi="宋体" w:cs="宋体"/>
                <w:bCs/>
                <w:sz w:val="18"/>
                <w:szCs w:val="18"/>
              </w:rPr>
              <w:t>％。</w:t>
            </w:r>
            <w:r>
              <w:rPr>
                <w:rFonts w:hint="eastAsia" w:ascii="宋体" w:hAnsi="宋体" w:cs="宋体"/>
                <w:bCs/>
                <w:kern w:val="0"/>
                <w:sz w:val="18"/>
                <w:szCs w:val="18"/>
              </w:rPr>
              <w:t>新疆银行将在产品的募集期开始前至少一个工作日公布本理财产品的参考年化收益率及收益率浮动方式（若有）。本产品的参考年化收益率是根据产品所投资组合资产的总收益率测算得出，该收益率为本理财产品拟投资的投资标的年化收益率，扣除销售管理费率、产品托管费率以及投资管理费率后取得的收益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cs="宋体"/>
                <w:bCs/>
                <w:sz w:val="18"/>
                <w:szCs w:val="18"/>
              </w:rPr>
            </w:pPr>
            <w:r>
              <w:rPr>
                <w:rFonts w:hint="eastAsia" w:ascii="宋体" w:hAnsi="宋体" w:cs="宋体"/>
                <w:bCs/>
                <w:sz w:val="18"/>
                <w:szCs w:val="18"/>
              </w:rPr>
              <w:t>认购起点金额</w:t>
            </w:r>
          </w:p>
        </w:tc>
        <w:tc>
          <w:tcPr>
            <w:tcW w:w="7229" w:type="dxa"/>
          </w:tcPr>
          <w:p>
            <w:pPr>
              <w:rPr>
                <w:rFonts w:ascii="宋体" w:cs="宋体"/>
                <w:bCs/>
                <w:sz w:val="18"/>
                <w:szCs w:val="18"/>
              </w:rPr>
            </w:pPr>
            <w:r>
              <w:rPr>
                <w:rFonts w:hint="eastAsia" w:ascii="宋体" w:hAnsi="宋体" w:cs="宋体"/>
                <w:bCs/>
                <w:sz w:val="18"/>
                <w:szCs w:val="18"/>
              </w:rPr>
              <w:t>认购起点金额为1000万元；认购超出起点金额的部分以100万元的整数倍递增。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widowControl/>
              <w:jc w:val="center"/>
              <w:rPr>
                <w:rFonts w:ascii="宋体" w:hAnsi="宋体" w:cs="宋体"/>
                <w:bCs/>
                <w:kern w:val="0"/>
                <w:sz w:val="18"/>
                <w:szCs w:val="18"/>
              </w:rPr>
            </w:pPr>
            <w:r>
              <w:rPr>
                <w:rFonts w:hint="eastAsia" w:ascii="宋体" w:hAnsi="宋体" w:cs="宋体"/>
                <w:bCs/>
                <w:kern w:val="0"/>
                <w:sz w:val="18"/>
                <w:szCs w:val="18"/>
              </w:rPr>
              <w:t>最小起息金额</w:t>
            </w:r>
          </w:p>
        </w:tc>
        <w:tc>
          <w:tcPr>
            <w:tcW w:w="7229" w:type="dxa"/>
          </w:tcPr>
          <w:p>
            <w:pPr>
              <w:widowControl/>
              <w:ind w:right="-107" w:rightChars="-51"/>
              <w:jc w:val="left"/>
              <w:rPr>
                <w:rFonts w:ascii="宋体" w:hAnsi="宋体" w:cs="宋体"/>
                <w:bCs/>
                <w:kern w:val="0"/>
                <w:sz w:val="18"/>
                <w:szCs w:val="18"/>
              </w:rPr>
            </w:pPr>
            <w:r>
              <w:rPr>
                <w:rFonts w:hint="eastAsia" w:ascii="宋体" w:hAnsi="宋体" w:cs="宋体"/>
                <w:bCs/>
                <w:sz w:val="18"/>
                <w:szCs w:val="18"/>
              </w:rPr>
              <w:t>本产品最小起息金额1000万元。若产品销售结束时，募集的理财资金少于1000万元，本产品视为募集失败，不起息，</w:t>
            </w:r>
            <w:r>
              <w:rPr>
                <w:rFonts w:hint="eastAsia" w:ascii="宋体" w:hAnsi="宋体" w:cs="宋体"/>
                <w:bCs/>
                <w:kern w:val="0"/>
                <w:sz w:val="18"/>
                <w:szCs w:val="18"/>
              </w:rPr>
              <w:t>理财本金将在募集期结束后</w:t>
            </w:r>
            <w:r>
              <w:rPr>
                <w:rFonts w:ascii="宋体" w:hAnsi="宋体" w:cs="宋体"/>
                <w:bCs/>
                <w:kern w:val="0"/>
                <w:sz w:val="18"/>
                <w:szCs w:val="18"/>
              </w:rPr>
              <w:t>3</w:t>
            </w:r>
            <w:r>
              <w:rPr>
                <w:rFonts w:hint="eastAsia" w:ascii="宋体" w:hAnsi="宋体" w:cs="宋体"/>
                <w:bCs/>
                <w:kern w:val="0"/>
                <w:sz w:val="18"/>
                <w:szCs w:val="18"/>
              </w:rPr>
              <w:t>个工作日内返还投资人</w:t>
            </w:r>
            <w:r>
              <w:rPr>
                <w:rFonts w:hint="eastAsia" w:ascii="宋体" w:hAnsi="宋体" w:cs="宋体"/>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收益支付频率</w:t>
            </w:r>
          </w:p>
        </w:tc>
        <w:tc>
          <w:tcPr>
            <w:tcW w:w="7229" w:type="dxa"/>
          </w:tcPr>
          <w:p>
            <w:pPr>
              <w:widowControl/>
              <w:jc w:val="left"/>
            </w:pPr>
            <w:r>
              <w:rPr>
                <w:rFonts w:hint="eastAsia" w:ascii="宋体" w:hAnsi="宋体" w:cs="宋体"/>
                <w:bCs/>
                <w:kern w:val="0"/>
                <w:sz w:val="18"/>
                <w:szCs w:val="18"/>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eastAsia="楷体_GB2312"/>
                <w:bCs/>
                <w:sz w:val="18"/>
                <w:szCs w:val="18"/>
              </w:rPr>
            </w:pPr>
            <w:r>
              <w:rPr>
                <w:rFonts w:hint="eastAsia" w:ascii="宋体" w:hAnsi="宋体"/>
                <w:bCs/>
                <w:sz w:val="18"/>
                <w:szCs w:val="18"/>
              </w:rPr>
              <w:t>工作日</w:t>
            </w:r>
          </w:p>
        </w:tc>
        <w:tc>
          <w:tcPr>
            <w:tcW w:w="7229" w:type="dxa"/>
          </w:tcPr>
          <w:p>
            <w:pPr>
              <w:rPr>
                <w:rFonts w:ascii="宋体" w:hAnsi="宋体" w:eastAsia="楷体_GB2312"/>
                <w:bCs/>
                <w:sz w:val="18"/>
                <w:szCs w:val="18"/>
              </w:rPr>
            </w:pPr>
            <w:r>
              <w:rPr>
                <w:rFonts w:hint="eastAsia" w:ascii="宋体" w:hAnsi="宋体"/>
                <w:bCs/>
                <w:sz w:val="18"/>
                <w:szCs w:val="18"/>
              </w:rPr>
              <w:t>中国规定的法定工作日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eastAsia="楷体_GB2312"/>
                <w:bCs/>
                <w:sz w:val="18"/>
                <w:szCs w:val="18"/>
              </w:rPr>
            </w:pPr>
            <w:r>
              <w:rPr>
                <w:rFonts w:hint="eastAsia" w:ascii="宋体" w:hAnsi="宋体"/>
                <w:bCs/>
                <w:sz w:val="18"/>
                <w:szCs w:val="18"/>
              </w:rPr>
              <w:t>收益计算方法</w:t>
            </w:r>
          </w:p>
        </w:tc>
        <w:tc>
          <w:tcPr>
            <w:tcW w:w="7229" w:type="dxa"/>
          </w:tcPr>
          <w:p>
            <w:pPr>
              <w:widowControl/>
              <w:jc w:val="left"/>
            </w:pPr>
            <w:r>
              <w:rPr>
                <w:rFonts w:hint="eastAsia" w:ascii="宋体" w:hAnsi="宋体" w:cs="宋体"/>
                <w:bCs/>
                <w:kern w:val="0"/>
                <w:sz w:val="18"/>
                <w:szCs w:val="18"/>
              </w:rPr>
              <w:t>理财产品期末收益＝投资本金×理财产品到期年化收益率</w:t>
            </w:r>
            <w:r>
              <w:rPr>
                <w:rFonts w:ascii="宋体" w:hAnsi="宋体" w:cs="宋体"/>
                <w:bCs/>
                <w:kern w:val="0"/>
                <w:sz w:val="18"/>
                <w:szCs w:val="18"/>
              </w:rPr>
              <w:t>/365</w:t>
            </w:r>
            <w:r>
              <w:rPr>
                <w:rFonts w:hint="eastAsia" w:ascii="宋体" w:hAnsi="宋体" w:cs="宋体"/>
                <w:bCs/>
                <w:kern w:val="0"/>
                <w:sz w:val="18"/>
                <w:szCs w:val="18"/>
              </w:rPr>
              <w:t>×实际理财天数</w:t>
            </w:r>
          </w:p>
          <w:p>
            <w:pPr>
              <w:widowControl/>
              <w:jc w:val="left"/>
            </w:pPr>
            <w:r>
              <w:rPr>
                <w:rFonts w:hint="eastAsia" w:ascii="宋体" w:hAnsi="宋体" w:cs="宋体"/>
                <w:bCs/>
                <w:kern w:val="0"/>
                <w:sz w:val="18"/>
                <w:szCs w:val="18"/>
              </w:rPr>
              <w:t>如新疆银行未提前终止本理财产品，则实际理财天数为自本理财产品成立日（含）至到期日（不含）期间的天数。</w:t>
            </w:r>
          </w:p>
          <w:p>
            <w:pPr>
              <w:rPr>
                <w:rFonts w:ascii="宋体" w:hAnsi="宋体" w:eastAsia="楷体_GB2312"/>
                <w:bCs/>
                <w:sz w:val="18"/>
                <w:szCs w:val="18"/>
              </w:rPr>
            </w:pPr>
            <w:r>
              <w:rPr>
                <w:rFonts w:hint="eastAsia" w:ascii="宋体" w:hAnsi="宋体" w:cs="宋体"/>
                <w:bCs/>
                <w:kern w:val="0"/>
                <w:sz w:val="18"/>
                <w:szCs w:val="18"/>
              </w:rPr>
              <w:t>如新疆银行提前终止本理财产品，则实际理财天数为自本理财产品成立日（含）至提前终止日（不含）期间的天数。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jc w:val="center"/>
              <w:rPr>
                <w:rFonts w:ascii="宋体" w:hAnsi="宋体" w:eastAsia="楷体_GB2312"/>
                <w:bCs/>
                <w:sz w:val="18"/>
                <w:szCs w:val="18"/>
              </w:rPr>
            </w:pPr>
            <w:r>
              <w:rPr>
                <w:rFonts w:hint="eastAsia" w:ascii="宋体" w:hAnsi="宋体"/>
                <w:bCs/>
                <w:sz w:val="18"/>
                <w:szCs w:val="18"/>
              </w:rPr>
              <w:t>对账单</w:t>
            </w:r>
          </w:p>
        </w:tc>
        <w:tc>
          <w:tcPr>
            <w:tcW w:w="7229" w:type="dxa"/>
            <w:vAlign w:val="center"/>
          </w:tcPr>
          <w:p>
            <w:pPr>
              <w:rPr>
                <w:rFonts w:ascii="宋体" w:hAnsi="宋体" w:eastAsia="楷体_GB2312"/>
                <w:bCs/>
                <w:sz w:val="18"/>
                <w:szCs w:val="18"/>
              </w:rPr>
            </w:pPr>
            <w:r>
              <w:rPr>
                <w:rFonts w:hint="eastAsia" w:ascii="宋体" w:hAnsi="宋体"/>
                <w:bCs/>
                <w:sz w:val="18"/>
                <w:szCs w:val="18"/>
              </w:rPr>
              <w:t>投资人同意通过新疆银行网站或相关营业网点及时了解相关信息公告。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560" w:type="dxa"/>
            <w:vAlign w:val="center"/>
          </w:tcPr>
          <w:p>
            <w:pPr>
              <w:jc w:val="center"/>
              <w:rPr>
                <w:rFonts w:ascii="宋体" w:hAnsi="宋体" w:eastAsia="楷体_GB2312"/>
                <w:bCs/>
                <w:sz w:val="18"/>
                <w:szCs w:val="18"/>
              </w:rPr>
            </w:pPr>
            <w:r>
              <w:rPr>
                <w:rFonts w:hint="eastAsia" w:ascii="宋体" w:hAnsi="宋体"/>
                <w:bCs/>
                <w:sz w:val="18"/>
                <w:szCs w:val="18"/>
              </w:rPr>
              <w:t>税款</w:t>
            </w:r>
          </w:p>
        </w:tc>
        <w:tc>
          <w:tcPr>
            <w:tcW w:w="7229" w:type="dxa"/>
            <w:vAlign w:val="center"/>
          </w:tcPr>
          <w:p>
            <w:pPr>
              <w:ind w:right="-107" w:rightChars="-51"/>
              <w:rPr>
                <w:rFonts w:ascii="宋体" w:hAnsi="宋体" w:eastAsia="楷体_GB2312"/>
                <w:bCs/>
                <w:sz w:val="18"/>
                <w:szCs w:val="18"/>
              </w:rPr>
            </w:pPr>
            <w:r>
              <w:rPr>
                <w:rFonts w:hint="eastAsia" w:ascii="宋体" w:hAnsi="宋体" w:cs="Times New Roman"/>
                <w:bCs/>
                <w:sz w:val="18"/>
                <w:szCs w:val="18"/>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560" w:type="dxa"/>
            <w:vAlign w:val="center"/>
          </w:tcPr>
          <w:p>
            <w:pPr>
              <w:jc w:val="center"/>
              <w:rPr>
                <w:rFonts w:ascii="宋体" w:cs="宋体"/>
                <w:bCs/>
                <w:sz w:val="18"/>
                <w:szCs w:val="18"/>
              </w:rPr>
            </w:pPr>
            <w:r>
              <w:rPr>
                <w:rFonts w:hint="eastAsia" w:ascii="宋体" w:hAnsi="宋体" w:cs="宋体"/>
                <w:bCs/>
                <w:sz w:val="18"/>
                <w:szCs w:val="18"/>
              </w:rPr>
              <w:t>其他规定</w:t>
            </w:r>
          </w:p>
          <w:p>
            <w:pPr>
              <w:jc w:val="center"/>
              <w:rPr>
                <w:rFonts w:ascii="宋体" w:cs="宋体"/>
                <w:bCs/>
                <w:sz w:val="18"/>
                <w:szCs w:val="18"/>
              </w:rPr>
            </w:pPr>
          </w:p>
        </w:tc>
        <w:tc>
          <w:tcPr>
            <w:tcW w:w="7229" w:type="dxa"/>
          </w:tcPr>
          <w:p>
            <w:pPr>
              <w:widowControl/>
              <w:jc w:val="left"/>
            </w:pPr>
            <w:r>
              <w:rPr>
                <w:rFonts w:hint="eastAsia" w:ascii="宋体" w:hAnsi="宋体" w:cs="宋体"/>
                <w:bCs/>
                <w:kern w:val="0"/>
                <w:sz w:val="18"/>
                <w:szCs w:val="18"/>
              </w:rPr>
              <w:t>本理财产品认购后不得撤单。</w:t>
            </w:r>
          </w:p>
          <w:p>
            <w:pPr>
              <w:rPr>
                <w:rFonts w:ascii="宋体" w:cs="宋体"/>
                <w:bCs/>
                <w:sz w:val="18"/>
                <w:szCs w:val="18"/>
              </w:rPr>
            </w:pPr>
            <w:r>
              <w:rPr>
                <w:rFonts w:hint="eastAsia" w:ascii="宋体" w:hAnsi="宋体" w:cs="宋体"/>
                <w:kern w:val="0"/>
                <w:sz w:val="18"/>
                <w:szCs w:val="18"/>
              </w:rPr>
              <w:t>本理财可以通过■营业网点、□网上银行、□手机银行等渠道购买。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0" w:type="dxa"/>
            <w:vAlign w:val="center"/>
          </w:tcPr>
          <w:p>
            <w:pPr>
              <w:jc w:val="center"/>
              <w:rPr>
                <w:rFonts w:ascii="宋体" w:cs="宋体"/>
                <w:bCs/>
                <w:sz w:val="18"/>
                <w:szCs w:val="18"/>
              </w:rPr>
            </w:pPr>
            <w:r>
              <w:rPr>
                <w:rFonts w:hint="eastAsia" w:ascii="宋体" w:hAnsi="宋体"/>
                <w:bCs/>
                <w:sz w:val="18"/>
                <w:szCs w:val="18"/>
                <w:lang w:val="en-US" w:eastAsia="zh-CN"/>
              </w:rPr>
              <w:t>托管银行</w:t>
            </w:r>
          </w:p>
        </w:tc>
        <w:tc>
          <w:tcPr>
            <w:tcW w:w="7229" w:type="dxa"/>
          </w:tcPr>
          <w:p>
            <w:pPr>
              <w:rPr>
                <w:rFonts w:hint="default" w:ascii="宋体" w:hAnsi="宋体" w:cs="宋体"/>
                <w:kern w:val="0"/>
                <w:sz w:val="18"/>
                <w:szCs w:val="18"/>
                <w:lang w:val="en-US"/>
              </w:rPr>
            </w:pPr>
            <w:r>
              <w:rPr>
                <w:rFonts w:hint="eastAsia" w:ascii="宋体" w:hAnsi="宋体"/>
                <w:bCs/>
                <w:sz w:val="18"/>
                <w:szCs w:val="18"/>
                <w:lang w:val="en-US" w:eastAsia="zh-CN"/>
              </w:rPr>
              <w:t>宁波银行股份有限公司。</w:t>
            </w:r>
          </w:p>
        </w:tc>
      </w:tr>
    </w:tbl>
    <w:p>
      <w:pPr>
        <w:spacing w:before="100" w:beforeAutospacing="1" w:line="280" w:lineRule="exact"/>
        <w:ind w:firstLine="361" w:firstLineChars="200"/>
        <w:rPr>
          <w:rFonts w:ascii="宋体" w:hAnsi="宋体"/>
          <w:b/>
          <w:bCs/>
          <w:sz w:val="18"/>
          <w:szCs w:val="18"/>
        </w:rPr>
      </w:pPr>
      <w:r>
        <w:rPr>
          <w:rFonts w:hint="eastAsia" w:ascii="宋体" w:hAnsi="宋体"/>
          <w:b/>
          <w:bCs/>
          <w:sz w:val="18"/>
          <w:szCs w:val="18"/>
        </w:rPr>
        <w:t>二、投资范围及投资管理</w:t>
      </w:r>
    </w:p>
    <w:p>
      <w:pPr>
        <w:spacing w:line="280" w:lineRule="exact"/>
        <w:ind w:firstLine="360" w:firstLineChars="200"/>
        <w:rPr>
          <w:rFonts w:ascii="宋体" w:hAnsi="宋体" w:cs="宋体"/>
          <w:bCs/>
          <w:sz w:val="18"/>
          <w:szCs w:val="18"/>
        </w:rPr>
      </w:pPr>
      <w:r>
        <w:rPr>
          <w:rFonts w:hint="eastAsia" w:ascii="宋体" w:hAnsi="宋体" w:cs="宋体"/>
          <w:bCs/>
          <w:sz w:val="18"/>
          <w:szCs w:val="18"/>
        </w:rPr>
        <w:t>1、投资范围</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本产品募集资金投资于现金类资产、货币市场工具、固定收益类资产和其他符合监管要求的资产，具体如下：</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（1）现金类资产：包括但不限于活期存款、定期存款、协议存款等；</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（2）货币市场工具：包括但不限于质押式回购、买断式回购、交易所协议式回购等；</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（3）货币市场基金；</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（4）固定收益类资产：包括但不限于国债、中央银行票据、同业存单、金融债、企业债、公司债、中期票据、短期融资券、超短期融资券、定向债务融资工具（PPN）、资产支持证券、资产支持票据(ABN）</w:t>
      </w:r>
      <w:r>
        <w:rPr>
          <w:rFonts w:hint="eastAsia" w:ascii="宋体" w:hAnsi="宋体" w:cs="Times New Roman"/>
          <w:bCs/>
          <w:sz w:val="18"/>
          <w:szCs w:val="18"/>
          <w:lang w:eastAsia="zh-CN"/>
        </w:rPr>
        <w:t>、</w:t>
      </w:r>
      <w:r>
        <w:rPr>
          <w:rFonts w:hint="eastAsia" w:ascii="宋体" w:hAnsi="宋体" w:cs="Times New Roman"/>
          <w:bCs/>
          <w:sz w:val="18"/>
          <w:szCs w:val="18"/>
          <w:lang w:val="en-US" w:eastAsia="zh-CN"/>
        </w:rPr>
        <w:t>同业借款</w:t>
      </w:r>
      <w:r>
        <w:rPr>
          <w:rFonts w:hint="eastAsia" w:ascii="宋体" w:hAnsi="宋体" w:cs="Times New Roman"/>
          <w:bCs/>
          <w:sz w:val="18"/>
          <w:szCs w:val="18"/>
        </w:rPr>
        <w:t>及底层资产为上述资产的各类资管计划、信托计划等；</w:t>
      </w:r>
    </w:p>
    <w:p>
      <w:pPr>
        <w:widowControl/>
        <w:spacing w:line="280" w:lineRule="exact"/>
        <w:ind w:left="360"/>
        <w:jc w:val="left"/>
        <w:rPr>
          <w:rFonts w:ascii="宋体" w:hAnsi="宋体" w:cs="Times New Roman"/>
          <w:bCs/>
          <w:sz w:val="18"/>
          <w:szCs w:val="18"/>
        </w:rPr>
      </w:pPr>
      <w:r>
        <w:rPr>
          <w:rFonts w:hint="eastAsia" w:ascii="宋体" w:hAnsi="宋体" w:cs="Times New Roman"/>
          <w:bCs/>
          <w:sz w:val="18"/>
          <w:szCs w:val="18"/>
        </w:rPr>
        <w:t>（5）其他符合监管要求的资产；</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2、投资比例</w:t>
      </w:r>
    </w:p>
    <w:p>
      <w:pPr>
        <w:widowControl/>
        <w:spacing w:line="280" w:lineRule="exact"/>
        <w:ind w:firstLine="360" w:firstLineChars="200"/>
        <w:jc w:val="left"/>
        <w:rPr>
          <w:rFonts w:ascii="宋体" w:hAnsi="宋体" w:cs="Times New Roman"/>
          <w:bCs/>
          <w:sz w:val="18"/>
          <w:szCs w:val="18"/>
        </w:rPr>
      </w:pPr>
      <w:r>
        <w:rPr>
          <w:rFonts w:hint="eastAsia" w:ascii="宋体" w:hAnsi="宋体" w:cs="Times New Roman"/>
          <w:bCs/>
          <w:sz w:val="18"/>
          <w:szCs w:val="18"/>
        </w:rPr>
        <w:t>各类资产的投资比例为：现金类资产、货币市场工具、货币市场基金和固定收益类资产的比例为80%-100%；其他符合监管要求的资产0%-20%。</w:t>
      </w:r>
    </w:p>
    <w:p>
      <w:pPr>
        <w:widowControl/>
        <w:spacing w:line="280" w:lineRule="exact"/>
        <w:ind w:firstLine="361" w:firstLineChars="200"/>
        <w:jc w:val="left"/>
        <w:rPr>
          <w:b/>
        </w:rPr>
      </w:pPr>
      <w:r>
        <w:rPr>
          <w:rFonts w:ascii="宋体" w:hAnsi="宋体" w:cs="宋体"/>
          <w:b/>
          <w:bCs/>
          <w:kern w:val="0"/>
          <w:sz w:val="18"/>
          <w:szCs w:val="18"/>
        </w:rPr>
        <w:t>3</w:t>
      </w:r>
      <w:r>
        <w:rPr>
          <w:rFonts w:hint="eastAsia" w:ascii="宋体" w:hAnsi="宋体" w:cs="宋体"/>
          <w:b/>
          <w:bCs/>
          <w:kern w:val="0"/>
          <w:sz w:val="18"/>
          <w:szCs w:val="18"/>
        </w:rPr>
        <w:t>、</w:t>
      </w:r>
      <w:r>
        <w:rPr>
          <w:rStyle w:val="7"/>
          <w:rFonts w:hint="eastAsia" w:ascii="宋体" w:hAnsi="宋体" w:cs="宋体"/>
          <w:kern w:val="0"/>
          <w:sz w:val="18"/>
          <w:szCs w:val="18"/>
        </w:rPr>
        <w:t>特别提示：</w:t>
      </w:r>
      <w:r>
        <w:rPr>
          <w:rFonts w:hint="eastAsia" w:ascii="宋体" w:hAnsi="宋体" w:cs="宋体"/>
          <w:b/>
          <w:bCs/>
          <w:kern w:val="0"/>
          <w:sz w:val="18"/>
          <w:szCs w:val="18"/>
        </w:rPr>
        <w:t>新疆银行将本着诚实信用、谨慎勤勉的原则，在规定的范围内运用理财资金进行投资，本产品如因市场变化、未达到或超过计划募集额等因素，投资比例可在不影响客户预期收益、产品风险评级的前提下合理浮动。</w:t>
      </w:r>
      <w:r>
        <w:rPr>
          <w:rFonts w:hint="eastAsia" w:ascii="宋体" w:hAnsi="宋体" w:cs="宋体"/>
          <w:b/>
          <w:bCs/>
          <w:sz w:val="18"/>
          <w:szCs w:val="18"/>
        </w:rPr>
        <w:t>银行确保产品在理财计划存续期限内维持产品风险评级不变，但并不保证理财收益的实现，</w:t>
      </w:r>
      <w:r>
        <w:rPr>
          <w:rFonts w:hint="eastAsia" w:ascii="宋体" w:hAnsi="宋体" w:cs="宋体"/>
          <w:b/>
          <w:bCs/>
          <w:kern w:val="0"/>
          <w:sz w:val="18"/>
          <w:szCs w:val="18"/>
        </w:rPr>
        <w:t>理财产品起始日的具体投资资产种类及比例将在产品成立公告中进行披露。</w:t>
      </w:r>
    </w:p>
    <w:p>
      <w:pPr>
        <w:spacing w:line="280" w:lineRule="exact"/>
        <w:ind w:firstLine="361" w:firstLineChars="200"/>
        <w:rPr>
          <w:rFonts w:ascii="宋体" w:cs="宋体"/>
          <w:b/>
          <w:bCs/>
          <w:sz w:val="18"/>
          <w:szCs w:val="18"/>
        </w:rPr>
      </w:pPr>
      <w:r>
        <w:rPr>
          <w:rFonts w:hint="eastAsia" w:ascii="宋体" w:hAnsi="宋体" w:cs="宋体"/>
          <w:b/>
          <w:bCs/>
          <w:sz w:val="18"/>
          <w:szCs w:val="18"/>
        </w:rPr>
        <w:t>三、理财产品费用及收益</w:t>
      </w:r>
    </w:p>
    <w:p>
      <w:pPr>
        <w:spacing w:line="280" w:lineRule="exact"/>
        <w:ind w:firstLine="360" w:firstLineChars="200"/>
        <w:rPr>
          <w:rFonts w:ascii="宋体" w:cs="宋体"/>
          <w:bCs/>
          <w:sz w:val="18"/>
          <w:szCs w:val="18"/>
        </w:rPr>
      </w:pPr>
      <w:r>
        <w:rPr>
          <w:rFonts w:ascii="宋体" w:hAnsi="宋体" w:cs="宋体"/>
          <w:bCs/>
          <w:sz w:val="18"/>
          <w:szCs w:val="18"/>
        </w:rPr>
        <w:t>1</w:t>
      </w:r>
      <w:r>
        <w:rPr>
          <w:rFonts w:hint="eastAsia" w:ascii="宋体" w:hAnsi="宋体" w:cs="宋体"/>
          <w:bCs/>
          <w:sz w:val="18"/>
          <w:szCs w:val="18"/>
        </w:rPr>
        <w:t>、声明</w:t>
      </w:r>
    </w:p>
    <w:p>
      <w:pPr>
        <w:spacing w:line="280" w:lineRule="exact"/>
        <w:ind w:firstLine="360" w:firstLineChars="200"/>
        <w:rPr>
          <w:rFonts w:ascii="宋体" w:cs="宋体"/>
          <w:bCs/>
          <w:sz w:val="18"/>
          <w:szCs w:val="18"/>
        </w:rPr>
      </w:pPr>
      <w:r>
        <w:rPr>
          <w:rFonts w:hint="eastAsia" w:ascii="宋体" w:hAnsi="宋体" w:cs="宋体"/>
          <w:bCs/>
          <w:sz w:val="18"/>
          <w:szCs w:val="18"/>
        </w:rPr>
        <w:t>本产品的参考收益仅为银行根据假设、或历史数据或以往投资结果进行的预测，不代表投资者获得的实际收益，亦不构成银行对该理财产品任何收益的承诺。投资者所能获得的最终收益以新疆银行根据理财产品说明书有关条款支付给客户的实际金额为准。</w:t>
      </w:r>
    </w:p>
    <w:p>
      <w:pPr>
        <w:spacing w:line="280" w:lineRule="exact"/>
        <w:ind w:firstLine="361" w:firstLineChars="200"/>
        <w:rPr>
          <w:rFonts w:ascii="宋体" w:cs="宋体"/>
          <w:b/>
          <w:bCs/>
          <w:sz w:val="18"/>
          <w:szCs w:val="18"/>
        </w:rPr>
      </w:pPr>
      <w:r>
        <w:rPr>
          <w:rFonts w:ascii="宋体" w:hAnsi="宋体" w:cs="宋体"/>
          <w:b/>
          <w:bCs/>
          <w:sz w:val="18"/>
          <w:szCs w:val="18"/>
        </w:rPr>
        <w:t>2</w:t>
      </w:r>
      <w:r>
        <w:rPr>
          <w:rFonts w:hint="eastAsia" w:ascii="宋体" w:hAnsi="宋体" w:cs="宋体"/>
          <w:b/>
          <w:bCs/>
          <w:sz w:val="18"/>
          <w:szCs w:val="18"/>
        </w:rPr>
        <w:t>、特别说明</w:t>
      </w:r>
    </w:p>
    <w:p>
      <w:pPr>
        <w:spacing w:line="280" w:lineRule="exact"/>
        <w:ind w:firstLine="361" w:firstLineChars="200"/>
        <w:rPr>
          <w:rFonts w:ascii="宋体" w:cs="宋体"/>
          <w:b/>
          <w:bCs/>
          <w:sz w:val="18"/>
          <w:szCs w:val="18"/>
        </w:rPr>
      </w:pPr>
      <w:r>
        <w:rPr>
          <w:rFonts w:hint="eastAsia" w:ascii="宋体" w:hAnsi="宋体" w:cs="宋体"/>
          <w:b/>
          <w:bCs/>
          <w:sz w:val="18"/>
          <w:szCs w:val="18"/>
        </w:rPr>
        <w:t>在本期产品成立后，不开放申购/赎回；理财资金在到期</w:t>
      </w:r>
      <w:r>
        <w:rPr>
          <w:rFonts w:ascii="宋体" w:hAnsi="宋体" w:cs="宋体"/>
          <w:b/>
          <w:bCs/>
          <w:sz w:val="18"/>
          <w:szCs w:val="18"/>
        </w:rPr>
        <w:t>/</w:t>
      </w:r>
      <w:r>
        <w:rPr>
          <w:rFonts w:hint="eastAsia" w:ascii="宋体" w:hAnsi="宋体" w:cs="宋体"/>
          <w:b/>
          <w:bCs/>
          <w:sz w:val="18"/>
          <w:szCs w:val="18"/>
        </w:rPr>
        <w:t>提前终止时，一次兑付。</w:t>
      </w:r>
    </w:p>
    <w:p>
      <w:pPr>
        <w:spacing w:line="280" w:lineRule="exact"/>
        <w:ind w:firstLine="361" w:firstLineChars="200"/>
        <w:rPr>
          <w:rFonts w:ascii="宋体" w:hAnsi="宋体"/>
          <w:b/>
          <w:bCs/>
          <w:sz w:val="18"/>
          <w:szCs w:val="18"/>
        </w:rPr>
      </w:pPr>
      <w:r>
        <w:rPr>
          <w:rFonts w:hint="eastAsia" w:ascii="宋体" w:hAnsi="宋体"/>
          <w:b/>
          <w:bCs/>
          <w:sz w:val="18"/>
          <w:szCs w:val="18"/>
        </w:rPr>
        <w:t xml:space="preserve">四、产品提前终止 </w:t>
      </w:r>
    </w:p>
    <w:p>
      <w:pPr>
        <w:widowControl/>
        <w:spacing w:line="280" w:lineRule="exact"/>
        <w:ind w:firstLine="360" w:firstLineChars="200"/>
        <w:jc w:val="left"/>
        <w:rPr>
          <w:rFonts w:ascii="宋体" w:hAnsi="宋体" w:cs="宋体"/>
          <w:bCs/>
          <w:kern w:val="0"/>
          <w:sz w:val="18"/>
          <w:szCs w:val="18"/>
        </w:rPr>
      </w:pPr>
      <w:r>
        <w:rPr>
          <w:rFonts w:hint="eastAsia" w:ascii="宋体" w:hAnsi="宋体" w:cs="宋体"/>
          <w:bCs/>
          <w:kern w:val="0"/>
          <w:sz w:val="18"/>
          <w:szCs w:val="18"/>
        </w:rPr>
        <w:t>（</w:t>
      </w:r>
      <w:r>
        <w:rPr>
          <w:rFonts w:ascii="宋体" w:hAnsi="宋体" w:cs="宋体"/>
          <w:bCs/>
          <w:kern w:val="0"/>
          <w:sz w:val="18"/>
          <w:szCs w:val="18"/>
        </w:rPr>
        <w:t>1</w:t>
      </w:r>
      <w:r>
        <w:rPr>
          <w:rFonts w:hint="eastAsia" w:ascii="宋体" w:hAnsi="宋体" w:cs="宋体"/>
          <w:bCs/>
          <w:kern w:val="0"/>
          <w:sz w:val="18"/>
          <w:szCs w:val="18"/>
        </w:rPr>
        <w:t>）若在募集期届满之前募集资金已经达到产品募集上限，新疆银行有权提前结束募集并提前成立该理财产品，产品提前成立时银行将调整成立日期，并</w:t>
      </w:r>
      <w:r>
        <w:rPr>
          <w:rFonts w:hint="eastAsia" w:ascii="宋体" w:hAnsi="宋体" w:cs="宋体"/>
          <w:bCs/>
          <w:sz w:val="18"/>
          <w:szCs w:val="18"/>
        </w:rPr>
        <w:t>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、新疆银行官方微信或银行认为适当的其他方式、地点进行公示。</w:t>
      </w:r>
    </w:p>
    <w:p>
      <w:pPr>
        <w:spacing w:line="280" w:lineRule="exact"/>
        <w:ind w:firstLine="360" w:firstLineChars="200"/>
        <w:rPr>
          <w:rFonts w:ascii="宋体" w:cs="宋体"/>
          <w:bCs/>
          <w:sz w:val="18"/>
          <w:szCs w:val="18"/>
        </w:rPr>
      </w:pPr>
      <w:r>
        <w:rPr>
          <w:rFonts w:hint="eastAsia" w:ascii="宋体" w:hAnsi="宋体" w:cs="宋体"/>
          <w:bCs/>
          <w:sz w:val="18"/>
          <w:szCs w:val="18"/>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应至少在提前终止日前两个工作日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、新疆银行官方微信或银行认为适当的其他方式、地点进行公示</w:t>
      </w:r>
      <w:r>
        <w:rPr>
          <w:rFonts w:hint="eastAsia" w:ascii="宋体" w:hAnsi="宋体" w:cs="宋体"/>
          <w:bCs/>
          <w:sz w:val="18"/>
          <w:szCs w:val="18"/>
        </w:rPr>
        <w:t>。提前终止日后将客户理财资金及理财收益（如有）划入客户理财账户，划付信息</w:t>
      </w:r>
      <w:r>
        <w:rPr>
          <w:rFonts w:hint="eastAsia" w:ascii="宋体" w:hAnsi="宋体" w:cs="宋体"/>
          <w:bCs/>
          <w:kern w:val="0"/>
          <w:sz w:val="18"/>
          <w:szCs w:val="18"/>
        </w:rPr>
        <w:t>以</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、新疆银行官方微信或银行认为适当的其他方式、地点公布为准</w:t>
      </w:r>
      <w:r>
        <w:rPr>
          <w:rFonts w:hint="eastAsia" w:ascii="宋体" w:hAnsi="宋体" w:cs="宋体"/>
          <w:bCs/>
          <w:sz w:val="18"/>
          <w:szCs w:val="18"/>
        </w:rPr>
        <w:t>。提前终止日（含当日）至资金实际到账日之间，客户资金不计息。</w:t>
      </w:r>
    </w:p>
    <w:p>
      <w:pPr>
        <w:spacing w:line="280" w:lineRule="exact"/>
        <w:rPr>
          <w:rFonts w:ascii="宋体" w:hAnsi="宋体"/>
          <w:b/>
          <w:bCs/>
          <w:sz w:val="18"/>
          <w:szCs w:val="18"/>
        </w:rPr>
      </w:pPr>
      <w:r>
        <w:rPr>
          <w:rFonts w:hint="eastAsia" w:ascii="宋体" w:hAnsi="宋体"/>
          <w:b/>
          <w:bCs/>
          <w:sz w:val="18"/>
          <w:szCs w:val="18"/>
        </w:rPr>
        <w:t>五、信息披露</w:t>
      </w:r>
    </w:p>
    <w:p>
      <w:pPr>
        <w:widowControl/>
        <w:spacing w:line="280" w:lineRule="exact"/>
        <w:ind w:firstLine="360" w:firstLineChars="200"/>
        <w:jc w:val="left"/>
      </w:pPr>
      <w:r>
        <w:rPr>
          <w:rFonts w:ascii="宋体" w:hAnsi="宋体" w:cs="宋体"/>
          <w:bCs/>
          <w:kern w:val="0"/>
          <w:sz w:val="18"/>
          <w:szCs w:val="18"/>
        </w:rPr>
        <w:t>1</w:t>
      </w:r>
      <w:r>
        <w:rPr>
          <w:rFonts w:hint="eastAsia" w:ascii="宋体" w:hAnsi="宋体" w:cs="宋体"/>
          <w:bCs/>
          <w:kern w:val="0"/>
          <w:sz w:val="18"/>
          <w:szCs w:val="18"/>
        </w:rPr>
        <w:t>、本理财产品的公开信息披露新疆银行将通过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新疆银行将在产品发售期公告发行产品的基本要素信息；产品成立后发布成立公告，披露产品具体投资资产种类及具体比例（区间）信息；产品到期后披露到期收益、产品兑付等相关信息。如客户对本理财计划的运作状况有任何疑问，可到银行营业网点进行咨询。</w:t>
      </w:r>
    </w:p>
    <w:p>
      <w:pPr>
        <w:widowControl/>
        <w:spacing w:line="280" w:lineRule="exact"/>
        <w:ind w:firstLine="360" w:firstLineChars="200"/>
        <w:jc w:val="left"/>
      </w:pPr>
      <w:r>
        <w:rPr>
          <w:rFonts w:ascii="宋体" w:cs="宋体"/>
          <w:color w:val="000000"/>
          <w:kern w:val="0"/>
          <w:sz w:val="18"/>
          <w:szCs w:val="18"/>
        </w:rPr>
        <w:t>2</w:t>
      </w:r>
      <w:r>
        <w:rPr>
          <w:rFonts w:hint="eastAsia" w:ascii="宋体" w:cs="宋体"/>
          <w:color w:val="000000"/>
          <w:kern w:val="0"/>
          <w:sz w:val="18"/>
          <w:szCs w:val="18"/>
        </w:rPr>
        <w:t>、</w:t>
      </w:r>
      <w:r>
        <w:rPr>
          <w:rFonts w:hint="eastAsia" w:ascii="宋体" w:hAnsi="宋体" w:cs="宋体"/>
          <w:bCs/>
          <w:kern w:val="0"/>
          <w:sz w:val="18"/>
          <w:szCs w:val="18"/>
        </w:rPr>
        <w:t>新疆银行将在国家有关法律法规允许、理财协议约定的范围内进行投资运作。本产品如因市场变化、未达到或超过计划募集额等因素，投资比例可在不影响客户预期收益、产品风险评级的前提下合理浮动，若投资比例超出产品合理的浮动区间，新疆银行将根据有关规定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、新疆银行官方微信或银行认为适当的其他方式、地点进行披露；若客户不接受本行调整后的投资比例，可选择赎回本产品。</w:t>
      </w:r>
    </w:p>
    <w:p>
      <w:pPr>
        <w:widowControl/>
        <w:spacing w:line="280" w:lineRule="exact"/>
        <w:ind w:firstLine="360" w:firstLineChars="200"/>
        <w:jc w:val="left"/>
      </w:pPr>
      <w:r>
        <w:rPr>
          <w:rFonts w:ascii="宋体" w:hAnsi="宋体" w:cs="宋体"/>
          <w:bCs/>
          <w:kern w:val="0"/>
          <w:sz w:val="18"/>
          <w:szCs w:val="18"/>
        </w:rPr>
        <w:t>3</w:t>
      </w:r>
      <w:r>
        <w:rPr>
          <w:rFonts w:hint="eastAsia" w:ascii="宋体" w:hAnsi="宋体" w:cs="宋体"/>
          <w:bCs/>
          <w:kern w:val="0"/>
          <w:sz w:val="18"/>
          <w:szCs w:val="18"/>
        </w:rPr>
        <w:t>、若发生理财产品不成立、变更募集期、提前终止、收益信息变动等情况，新疆银行将按照法律法规及监管规范的要求在</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、新疆银行官方微信或银行认为适当的其他方式、地点及时进行信息披露。</w:t>
      </w:r>
      <w:r>
        <w:rPr>
          <w:rStyle w:val="7"/>
          <w:rFonts w:hint="eastAsia" w:ascii="宋体" w:hAnsi="宋体" w:cs="宋体"/>
          <w:kern w:val="0"/>
          <w:sz w:val="18"/>
          <w:szCs w:val="18"/>
        </w:rPr>
        <w:t>该等披露，视为银行已向客户完全履行信息披露义务。客户承诺将及时接收、浏览和阅读该等信息。</w:t>
      </w:r>
    </w:p>
    <w:p>
      <w:pPr>
        <w:widowControl/>
        <w:spacing w:line="280" w:lineRule="exact"/>
        <w:ind w:firstLine="360" w:firstLineChars="200"/>
        <w:jc w:val="left"/>
      </w:pPr>
      <w:r>
        <w:rPr>
          <w:rFonts w:ascii="宋体" w:hAnsi="宋体" w:cs="宋体"/>
          <w:bCs/>
          <w:kern w:val="0"/>
          <w:sz w:val="18"/>
          <w:szCs w:val="18"/>
        </w:rPr>
        <w:t>4</w:t>
      </w:r>
      <w:r>
        <w:rPr>
          <w:rFonts w:hint="eastAsia" w:ascii="宋体" w:hAnsi="宋体" w:cs="宋体"/>
          <w:bCs/>
          <w:kern w:val="0"/>
          <w:sz w:val="18"/>
          <w:szCs w:val="18"/>
        </w:rPr>
        <w:t>、在本期理财产品存续期内，当市场发生重大变化导致理财产品投资比例暂时超出浮动区间（如有约定）且可能对客户参考收益产生重大影响的，新疆银行将及时通过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、新疆银行官方微信或银行认为适当的其他方式、地点进行信息披露。</w:t>
      </w:r>
    </w:p>
    <w:p>
      <w:pPr>
        <w:widowControl/>
        <w:spacing w:line="280" w:lineRule="exact"/>
        <w:ind w:firstLine="361" w:firstLineChars="200"/>
        <w:jc w:val="left"/>
        <w:rPr>
          <w:rFonts w:ascii="宋体" w:hAnsi="宋体"/>
          <w:sz w:val="18"/>
          <w:szCs w:val="18"/>
        </w:rPr>
      </w:pPr>
      <w:r>
        <w:rPr>
          <w:rStyle w:val="7"/>
          <w:rFonts w:ascii="宋体" w:hAnsi="宋体" w:cs="宋体"/>
          <w:kern w:val="0"/>
          <w:sz w:val="18"/>
          <w:szCs w:val="18"/>
        </w:rPr>
        <w:t>5</w:t>
      </w:r>
      <w:r>
        <w:rPr>
          <w:rStyle w:val="7"/>
          <w:rFonts w:hint="eastAsia" w:ascii="宋体" w:hAnsi="宋体" w:cs="宋体"/>
          <w:kern w:val="0"/>
          <w:sz w:val="18"/>
          <w:szCs w:val="18"/>
        </w:rPr>
        <w:t>、如因国家法律法规、监管规定发生变化，或是出于维护本产品正常运营的需要，在不损害客户利益的前提下，新疆银行有权单方对本产品说明书进行修订，并提前</w:t>
      </w:r>
      <w:r>
        <w:rPr>
          <w:rStyle w:val="7"/>
          <w:rFonts w:ascii="宋体" w:hAnsi="宋体" w:cs="宋体"/>
          <w:kern w:val="0"/>
          <w:sz w:val="18"/>
          <w:szCs w:val="18"/>
        </w:rPr>
        <w:t>3</w:t>
      </w:r>
      <w:r>
        <w:rPr>
          <w:rStyle w:val="7"/>
          <w:rFonts w:hint="eastAsia" w:ascii="宋体" w:hAnsi="宋体" w:cs="宋体"/>
          <w:kern w:val="0"/>
          <w:sz w:val="18"/>
          <w:szCs w:val="18"/>
        </w:rPr>
        <w:t>个工作日</w:t>
      </w:r>
      <w:r>
        <w:rPr>
          <w:rFonts w:hint="eastAsia" w:ascii="宋体" w:hAnsi="宋体" w:cs="宋体"/>
          <w:b/>
          <w:bCs/>
          <w:kern w:val="0"/>
          <w:sz w:val="18"/>
          <w:szCs w:val="18"/>
        </w:rPr>
        <w:t>通过</w:t>
      </w:r>
      <w:r>
        <w:rPr>
          <w:rFonts w:hint="eastAsia" w:ascii="宋体" w:hAnsi="宋体" w:cs="仿宋_GB2312"/>
          <w:b/>
          <w:sz w:val="18"/>
          <w:szCs w:val="18"/>
        </w:rPr>
        <w:t>新疆银行官方网站（</w:t>
      </w:r>
      <w:r>
        <w:rPr>
          <w:rFonts w:ascii="宋体" w:hAnsi="宋体" w:cs="仿宋_GB2312"/>
          <w:b/>
          <w:sz w:val="18"/>
          <w:szCs w:val="18"/>
        </w:rPr>
        <w:t>www.xjbank.com</w:t>
      </w:r>
      <w:r>
        <w:rPr>
          <w:rFonts w:hint="eastAsia" w:ascii="宋体" w:hAnsi="宋体" w:cs="仿宋_GB2312"/>
          <w:b/>
          <w:sz w:val="18"/>
          <w:szCs w:val="18"/>
        </w:rPr>
        <w:t>）</w:t>
      </w:r>
      <w:r>
        <w:rPr>
          <w:rFonts w:hint="eastAsia" w:ascii="宋体" w:hAnsi="宋体" w:cs="宋体"/>
          <w:b/>
          <w:bCs/>
          <w:kern w:val="0"/>
          <w:sz w:val="18"/>
          <w:szCs w:val="18"/>
        </w:rPr>
        <w:t>、新疆银行官方微信或银行认为适当的其他方式、地点</w:t>
      </w:r>
      <w:r>
        <w:rPr>
          <w:rStyle w:val="7"/>
          <w:rFonts w:hint="eastAsia" w:ascii="宋体" w:hAnsi="宋体" w:cs="宋体"/>
          <w:kern w:val="0"/>
          <w:sz w:val="18"/>
          <w:szCs w:val="18"/>
        </w:rPr>
        <w:t>进行信息披露。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A38"/>
    <w:rsid w:val="00005FDE"/>
    <w:rsid w:val="00025DD9"/>
    <w:rsid w:val="00027AA3"/>
    <w:rsid w:val="00041E9B"/>
    <w:rsid w:val="00045977"/>
    <w:rsid w:val="000A4513"/>
    <w:rsid w:val="000C28DB"/>
    <w:rsid w:val="000C4B49"/>
    <w:rsid w:val="000E49C8"/>
    <w:rsid w:val="000E7021"/>
    <w:rsid w:val="00100C7F"/>
    <w:rsid w:val="00113C3C"/>
    <w:rsid w:val="00122AAD"/>
    <w:rsid w:val="00156999"/>
    <w:rsid w:val="00163C5C"/>
    <w:rsid w:val="001B1D1A"/>
    <w:rsid w:val="001C0283"/>
    <w:rsid w:val="001C6FA4"/>
    <w:rsid w:val="001E25EA"/>
    <w:rsid w:val="001E7EF7"/>
    <w:rsid w:val="001F5EEB"/>
    <w:rsid w:val="00200C19"/>
    <w:rsid w:val="002042B0"/>
    <w:rsid w:val="00207348"/>
    <w:rsid w:val="00223615"/>
    <w:rsid w:val="00260C75"/>
    <w:rsid w:val="002A78FB"/>
    <w:rsid w:val="002E471D"/>
    <w:rsid w:val="002F100A"/>
    <w:rsid w:val="003228A9"/>
    <w:rsid w:val="00342918"/>
    <w:rsid w:val="00354892"/>
    <w:rsid w:val="00375F95"/>
    <w:rsid w:val="003B7F2A"/>
    <w:rsid w:val="003D1D92"/>
    <w:rsid w:val="003D2DAC"/>
    <w:rsid w:val="00426099"/>
    <w:rsid w:val="00431E32"/>
    <w:rsid w:val="004329D3"/>
    <w:rsid w:val="00433B34"/>
    <w:rsid w:val="00453C03"/>
    <w:rsid w:val="00454CDF"/>
    <w:rsid w:val="00455CC8"/>
    <w:rsid w:val="004621E0"/>
    <w:rsid w:val="00472E12"/>
    <w:rsid w:val="0049797D"/>
    <w:rsid w:val="004B00E1"/>
    <w:rsid w:val="004C6248"/>
    <w:rsid w:val="005212B8"/>
    <w:rsid w:val="005239CC"/>
    <w:rsid w:val="00555050"/>
    <w:rsid w:val="005555C3"/>
    <w:rsid w:val="00585523"/>
    <w:rsid w:val="005A5F66"/>
    <w:rsid w:val="005B0DC8"/>
    <w:rsid w:val="005D33C3"/>
    <w:rsid w:val="005E35A8"/>
    <w:rsid w:val="0061051F"/>
    <w:rsid w:val="0061383F"/>
    <w:rsid w:val="006200BF"/>
    <w:rsid w:val="00635846"/>
    <w:rsid w:val="00642CA7"/>
    <w:rsid w:val="0064559D"/>
    <w:rsid w:val="00660DD1"/>
    <w:rsid w:val="0067399F"/>
    <w:rsid w:val="0068383B"/>
    <w:rsid w:val="0069384C"/>
    <w:rsid w:val="006A1B54"/>
    <w:rsid w:val="006A45A1"/>
    <w:rsid w:val="006C095F"/>
    <w:rsid w:val="006E02E1"/>
    <w:rsid w:val="006E1934"/>
    <w:rsid w:val="006E1E4B"/>
    <w:rsid w:val="006F590E"/>
    <w:rsid w:val="00722D2C"/>
    <w:rsid w:val="00726BE1"/>
    <w:rsid w:val="007506D4"/>
    <w:rsid w:val="00760AA7"/>
    <w:rsid w:val="00790F45"/>
    <w:rsid w:val="00791E85"/>
    <w:rsid w:val="007A00E8"/>
    <w:rsid w:val="007B2C11"/>
    <w:rsid w:val="007D6CE9"/>
    <w:rsid w:val="007E7C59"/>
    <w:rsid w:val="007F2B84"/>
    <w:rsid w:val="008866B4"/>
    <w:rsid w:val="008C6621"/>
    <w:rsid w:val="008F3F5C"/>
    <w:rsid w:val="0092374A"/>
    <w:rsid w:val="009305DD"/>
    <w:rsid w:val="00946A38"/>
    <w:rsid w:val="009577B8"/>
    <w:rsid w:val="00960823"/>
    <w:rsid w:val="00967F7F"/>
    <w:rsid w:val="00985F29"/>
    <w:rsid w:val="009A34D7"/>
    <w:rsid w:val="009F697B"/>
    <w:rsid w:val="00A02630"/>
    <w:rsid w:val="00A02D0F"/>
    <w:rsid w:val="00A054A3"/>
    <w:rsid w:val="00A60C93"/>
    <w:rsid w:val="00A711D0"/>
    <w:rsid w:val="00A8379A"/>
    <w:rsid w:val="00AA3986"/>
    <w:rsid w:val="00AB15C3"/>
    <w:rsid w:val="00AC1EF1"/>
    <w:rsid w:val="00AF31C0"/>
    <w:rsid w:val="00B00745"/>
    <w:rsid w:val="00B031AF"/>
    <w:rsid w:val="00B22771"/>
    <w:rsid w:val="00B418C8"/>
    <w:rsid w:val="00B76604"/>
    <w:rsid w:val="00BB46B3"/>
    <w:rsid w:val="00BD747B"/>
    <w:rsid w:val="00C16842"/>
    <w:rsid w:val="00C452E4"/>
    <w:rsid w:val="00C764FD"/>
    <w:rsid w:val="00CC15D3"/>
    <w:rsid w:val="00CD3A6A"/>
    <w:rsid w:val="00CE1341"/>
    <w:rsid w:val="00CF1124"/>
    <w:rsid w:val="00D029CF"/>
    <w:rsid w:val="00D0306A"/>
    <w:rsid w:val="00D11436"/>
    <w:rsid w:val="00D16621"/>
    <w:rsid w:val="00D16729"/>
    <w:rsid w:val="00D244D3"/>
    <w:rsid w:val="00D366F2"/>
    <w:rsid w:val="00D41E19"/>
    <w:rsid w:val="00D5708B"/>
    <w:rsid w:val="00D70C6F"/>
    <w:rsid w:val="00D81FE6"/>
    <w:rsid w:val="00D8783C"/>
    <w:rsid w:val="00DA74CE"/>
    <w:rsid w:val="00DB3269"/>
    <w:rsid w:val="00DD0360"/>
    <w:rsid w:val="00DD52C9"/>
    <w:rsid w:val="00DD5AF2"/>
    <w:rsid w:val="00E04C60"/>
    <w:rsid w:val="00E05034"/>
    <w:rsid w:val="00E0630D"/>
    <w:rsid w:val="00E5164F"/>
    <w:rsid w:val="00E71AC0"/>
    <w:rsid w:val="00E7353E"/>
    <w:rsid w:val="00E84B51"/>
    <w:rsid w:val="00E909EC"/>
    <w:rsid w:val="00E9251C"/>
    <w:rsid w:val="00EA7C0D"/>
    <w:rsid w:val="00EB2C3C"/>
    <w:rsid w:val="00EB314B"/>
    <w:rsid w:val="00EB5E90"/>
    <w:rsid w:val="00EC0005"/>
    <w:rsid w:val="00ED08EC"/>
    <w:rsid w:val="00ED1264"/>
    <w:rsid w:val="00EE0D54"/>
    <w:rsid w:val="00EE2819"/>
    <w:rsid w:val="00F044EA"/>
    <w:rsid w:val="00F13D0E"/>
    <w:rsid w:val="00F26420"/>
    <w:rsid w:val="00F4354E"/>
    <w:rsid w:val="00F72996"/>
    <w:rsid w:val="00F73607"/>
    <w:rsid w:val="00F82B69"/>
    <w:rsid w:val="00F8378B"/>
    <w:rsid w:val="00F85172"/>
    <w:rsid w:val="00F90E31"/>
    <w:rsid w:val="00FB40EF"/>
    <w:rsid w:val="00FD538C"/>
    <w:rsid w:val="00FE6172"/>
    <w:rsid w:val="028A3A52"/>
    <w:rsid w:val="07AE7BB0"/>
    <w:rsid w:val="0AED4477"/>
    <w:rsid w:val="0CBD2414"/>
    <w:rsid w:val="0F0E3B8B"/>
    <w:rsid w:val="12143AAA"/>
    <w:rsid w:val="12550A6B"/>
    <w:rsid w:val="13AE2535"/>
    <w:rsid w:val="15B96882"/>
    <w:rsid w:val="168F5BB0"/>
    <w:rsid w:val="17675D35"/>
    <w:rsid w:val="17DC1D70"/>
    <w:rsid w:val="1A9374D7"/>
    <w:rsid w:val="1B26199A"/>
    <w:rsid w:val="1CA727BA"/>
    <w:rsid w:val="1CD04D66"/>
    <w:rsid w:val="1E7726C9"/>
    <w:rsid w:val="1FB92840"/>
    <w:rsid w:val="1FC34916"/>
    <w:rsid w:val="2001472C"/>
    <w:rsid w:val="23B045E7"/>
    <w:rsid w:val="23F15C62"/>
    <w:rsid w:val="24151614"/>
    <w:rsid w:val="2689459F"/>
    <w:rsid w:val="2A084E8A"/>
    <w:rsid w:val="2A3B7941"/>
    <w:rsid w:val="2A9459E2"/>
    <w:rsid w:val="2B6F3F89"/>
    <w:rsid w:val="30C807E2"/>
    <w:rsid w:val="31303FCF"/>
    <w:rsid w:val="36894E5A"/>
    <w:rsid w:val="370E382E"/>
    <w:rsid w:val="390D6901"/>
    <w:rsid w:val="3ADF4889"/>
    <w:rsid w:val="3C584FDD"/>
    <w:rsid w:val="3D30152B"/>
    <w:rsid w:val="3EBD7346"/>
    <w:rsid w:val="3F074514"/>
    <w:rsid w:val="3F1D28F5"/>
    <w:rsid w:val="3FD04EF3"/>
    <w:rsid w:val="42472634"/>
    <w:rsid w:val="443C7DCE"/>
    <w:rsid w:val="44AC6C8B"/>
    <w:rsid w:val="450E2466"/>
    <w:rsid w:val="46D631DA"/>
    <w:rsid w:val="496958FC"/>
    <w:rsid w:val="4C6735CA"/>
    <w:rsid w:val="4D973281"/>
    <w:rsid w:val="4E6213C2"/>
    <w:rsid w:val="4FF26783"/>
    <w:rsid w:val="51336C13"/>
    <w:rsid w:val="54A43531"/>
    <w:rsid w:val="579E2434"/>
    <w:rsid w:val="57D7192E"/>
    <w:rsid w:val="59741125"/>
    <w:rsid w:val="5B0D5BF6"/>
    <w:rsid w:val="5DBE2C71"/>
    <w:rsid w:val="619B06D9"/>
    <w:rsid w:val="61F13F14"/>
    <w:rsid w:val="650A151A"/>
    <w:rsid w:val="66597BD2"/>
    <w:rsid w:val="66B240F6"/>
    <w:rsid w:val="6813085F"/>
    <w:rsid w:val="69173C92"/>
    <w:rsid w:val="6B387C85"/>
    <w:rsid w:val="6BA60753"/>
    <w:rsid w:val="6C066DDD"/>
    <w:rsid w:val="70BC2EA8"/>
    <w:rsid w:val="71596F3D"/>
    <w:rsid w:val="72DF42AC"/>
    <w:rsid w:val="73911F59"/>
    <w:rsid w:val="73E31D87"/>
    <w:rsid w:val="74030D7B"/>
    <w:rsid w:val="74660FA1"/>
    <w:rsid w:val="74C910EC"/>
    <w:rsid w:val="77F1622C"/>
    <w:rsid w:val="78F26542"/>
    <w:rsid w:val="796608F8"/>
    <w:rsid w:val="7A0C1CB8"/>
    <w:rsid w:val="7AE4209F"/>
    <w:rsid w:val="7B263878"/>
    <w:rsid w:val="7CA32596"/>
    <w:rsid w:val="7E5A6C99"/>
    <w:rsid w:val="7E766A40"/>
    <w:rsid w:val="7F727B28"/>
    <w:rsid w:val="7F9120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asciiTheme="minorHAnsi" w:hAnsiTheme="minorHAnsi" w:eastAsiaTheme="minorEastAsia"/>
      <w:kern w:val="0"/>
      <w:sz w:val="24"/>
      <w:szCs w:val="24"/>
    </w:rPr>
  </w:style>
  <w:style w:type="character" w:styleId="7">
    <w:name w:val="Strong"/>
    <w:basedOn w:val="6"/>
    <w:qFormat/>
    <w:uiPriority w:val="99"/>
    <w:rPr>
      <w:rFonts w:cs="Times New Roman"/>
      <w:b/>
      <w:bCs/>
    </w:rPr>
  </w:style>
  <w:style w:type="character" w:customStyle="1" w:styleId="8">
    <w:name w:val="页眉 Char"/>
    <w:basedOn w:val="6"/>
    <w:link w:val="3"/>
    <w:semiHidden/>
    <w:qFormat/>
    <w:uiPriority w:val="99"/>
    <w:rPr>
      <w:rFonts w:ascii="Times New Roman" w:hAnsi="Times New Roman" w:eastAsia="宋体"/>
      <w:sz w:val="18"/>
      <w:szCs w:val="18"/>
    </w:rPr>
  </w:style>
  <w:style w:type="character" w:customStyle="1" w:styleId="9">
    <w:name w:val="页脚 Char"/>
    <w:basedOn w:val="6"/>
    <w:link w:val="2"/>
    <w:semiHidden/>
    <w:qFormat/>
    <w:uiPriority w:val="99"/>
    <w:rPr>
      <w:rFonts w:ascii="Times New Roman" w:hAnsi="Times New Roman" w:eastAsia="宋体"/>
      <w:sz w:val="18"/>
      <w:szCs w:val="18"/>
    </w:rPr>
  </w:style>
  <w:style w:type="character" w:customStyle="1" w:styleId="10">
    <w:name w:val="fontstyle01"/>
    <w:basedOn w:val="6"/>
    <w:qFormat/>
    <w:uiPriority w:val="0"/>
    <w:rPr>
      <w:rFonts w:ascii="宋体" w:hAnsi="宋体" w:eastAsia="宋体" w:cs="宋体"/>
      <w:color w:val="000000"/>
      <w:sz w:val="42"/>
      <w:szCs w:val="4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697</Words>
  <Characters>3973</Characters>
  <Lines>33</Lines>
  <Paragraphs>9</Paragraphs>
  <TotalTime>7</TotalTime>
  <ScaleCrop>false</ScaleCrop>
  <LinksUpToDate>false</LinksUpToDate>
  <CharactersWithSpaces>4661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2019-10-08T10:22:00Z</dcterms:created>
  <dc:creator>曹文芳</dc:creator>
  <cp:lastModifiedBy>曹旭红</cp:lastModifiedBy>
  <cp:lastPrinted>2018-09-10T02:23:00Z</cp:lastPrinted>
  <dcterms:modified xsi:type="dcterms:W3CDTF">2020-08-19T03:11:34Z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