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beforeLines="50"/>
        <w:ind w:firstLine="562"/>
        <w:jc w:val="center"/>
        <w:rPr>
          <w:rFonts w:ascii="方正大黑简体" w:hAnsi="宋体" w:eastAsia="方正大黑简体"/>
          <w:b/>
          <w:sz w:val="32"/>
          <w:szCs w:val="32"/>
        </w:rPr>
      </w:pPr>
      <w:bookmarkStart w:id="0" w:name="_GoBack"/>
      <w:bookmarkEnd w:id="0"/>
      <w:r>
        <w:rPr>
          <w:rFonts w:hint="eastAsia" w:ascii="方正大黑简体" w:hAnsi="宋体" w:eastAsia="方正大黑简体"/>
          <w:b/>
          <w:sz w:val="32"/>
          <w:szCs w:val="32"/>
        </w:rPr>
        <w:t>新疆银行人民币同业理财产品风险揭示书</w:t>
      </w:r>
    </w:p>
    <w:p>
      <w:pPr>
        <w:autoSpaceDE w:val="0"/>
        <w:autoSpaceDN w:val="0"/>
        <w:adjustRightInd w:val="0"/>
        <w:snapToGrid w:val="0"/>
        <w:spacing w:beforeLines="50"/>
        <w:jc w:val="center"/>
        <w:rPr>
          <w:rFonts w:ascii="宋体" w:hAnsi="宋体"/>
          <w:b/>
          <w:sz w:val="24"/>
        </w:rPr>
      </w:pPr>
      <w:r>
        <w:rPr>
          <w:rFonts w:hint="eastAsia" w:ascii="宋体" w:hAnsi="宋体"/>
          <w:b/>
          <w:bCs/>
          <w:sz w:val="18"/>
          <w:szCs w:val="18"/>
        </w:rPr>
        <w:t xml:space="preserve">     理财产品过往业绩不代表其未来表现，不等于理财产品实际收益</w:t>
      </w:r>
    </w:p>
    <w:p>
      <w:pPr>
        <w:autoSpaceDE w:val="0"/>
        <w:autoSpaceDN w:val="0"/>
        <w:adjustRightInd w:val="0"/>
        <w:snapToGrid w:val="0"/>
        <w:spacing w:beforeLines="50"/>
        <w:jc w:val="center"/>
        <w:rPr>
          <w:rFonts w:ascii="宋体" w:hAnsi="宋体"/>
          <w:b/>
          <w:bCs/>
          <w:sz w:val="18"/>
          <w:szCs w:val="18"/>
        </w:rPr>
      </w:pPr>
      <w:r>
        <w:rPr>
          <w:rFonts w:hint="eastAsia" w:ascii="宋体" w:hAnsi="宋体"/>
          <w:b/>
          <w:bCs/>
          <w:sz w:val="18"/>
          <w:szCs w:val="18"/>
        </w:rPr>
        <w:t>理财非存款、产品有风险、投资须谨慎</w:t>
      </w:r>
    </w:p>
    <w:p>
      <w:pPr>
        <w:autoSpaceDE w:val="0"/>
        <w:autoSpaceDN w:val="0"/>
        <w:adjustRightInd w:val="0"/>
        <w:snapToGrid w:val="0"/>
        <w:spacing w:beforeLines="50"/>
        <w:jc w:val="center"/>
        <w:rPr>
          <w:rFonts w:ascii="宋体" w:hAnsi="宋体"/>
          <w:sz w:val="24"/>
        </w:rPr>
      </w:pPr>
    </w:p>
    <w:p>
      <w:pPr>
        <w:tabs>
          <w:tab w:val="left" w:pos="8070"/>
          <w:tab w:val="right" w:pos="8306"/>
        </w:tabs>
        <w:autoSpaceDE w:val="0"/>
        <w:autoSpaceDN w:val="0"/>
        <w:adjustRightInd w:val="0"/>
        <w:snapToGrid w:val="0"/>
        <w:rPr>
          <w:rFonts w:ascii="宋体" w:hAnsi="宋体"/>
          <w:sz w:val="18"/>
          <w:szCs w:val="18"/>
        </w:rPr>
      </w:pPr>
      <w:r>
        <w:rPr>
          <w:rFonts w:hint="eastAsia" w:ascii="宋体" w:hAnsi="宋体"/>
          <w:sz w:val="18"/>
          <w:szCs w:val="18"/>
        </w:rPr>
        <w:t>尊敬的客户：</w:t>
      </w:r>
    </w:p>
    <w:p>
      <w:pPr>
        <w:tabs>
          <w:tab w:val="left" w:pos="8070"/>
          <w:tab w:val="right" w:pos="8306"/>
        </w:tabs>
        <w:autoSpaceDE w:val="0"/>
        <w:autoSpaceDN w:val="0"/>
        <w:adjustRightInd w:val="0"/>
        <w:snapToGrid w:val="0"/>
        <w:rPr>
          <w:rFonts w:ascii="宋体" w:hAnsi="宋体"/>
          <w:sz w:val="18"/>
          <w:szCs w:val="18"/>
        </w:rPr>
      </w:pPr>
    </w:p>
    <w:p>
      <w:pPr>
        <w:tabs>
          <w:tab w:val="left" w:pos="8070"/>
          <w:tab w:val="right" w:pos="8306"/>
        </w:tabs>
        <w:autoSpaceDE w:val="0"/>
        <w:autoSpaceDN w:val="0"/>
        <w:adjustRightInd w:val="0"/>
        <w:snapToGrid w:val="0"/>
        <w:ind w:firstLine="360" w:firstLineChars="200"/>
        <w:rPr>
          <w:rFonts w:ascii="宋体" w:hAnsi="宋体"/>
          <w:sz w:val="18"/>
          <w:szCs w:val="18"/>
        </w:rPr>
      </w:pPr>
      <w:r>
        <w:rPr>
          <w:rFonts w:hint="eastAsia" w:ascii="宋体" w:hAnsi="宋体"/>
          <w:sz w:val="18"/>
          <w:szCs w:val="18"/>
        </w:rPr>
        <w:t>本理财产品系与银行存款性质不同的金融产品，具有一定投资风险。在本理财产品下，客户（“投资者”）委托新疆银行运用理财资金进行投资，但新疆银行并不保证理财本金的安全及理财收益。在您选择购买本理财产品前，请仔细阅读以下内容：</w:t>
      </w:r>
    </w:p>
    <w:p>
      <w:pPr>
        <w:autoSpaceDE w:val="0"/>
        <w:autoSpaceDN w:val="0"/>
        <w:adjustRightInd w:val="0"/>
        <w:ind w:firstLine="284"/>
        <w:jc w:val="left"/>
        <w:rPr>
          <w:rFonts w:ascii="宋体" w:hAnsi="宋体"/>
          <w:sz w:val="18"/>
          <w:szCs w:val="18"/>
        </w:rPr>
      </w:pPr>
      <w:r>
        <w:rPr>
          <w:rFonts w:hint="eastAsia" w:ascii="宋体" w:hAnsi="宋体"/>
          <w:b/>
          <w:sz w:val="18"/>
          <w:szCs w:val="18"/>
        </w:rPr>
        <w:t>一</w:t>
      </w:r>
      <w:r>
        <w:rPr>
          <w:rFonts w:hint="eastAsia" w:ascii="宋体" w:hAnsi="宋体"/>
          <w:sz w:val="18"/>
          <w:szCs w:val="18"/>
        </w:rPr>
        <w:t>、本《风险揭示书》、《产品说明书》、《客户权益须知》是《产品协议书》不可分割的组成部分，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360" w:firstLineChars="200"/>
        <w:rPr>
          <w:rFonts w:ascii="宋体" w:hAnsi="宋体" w:cs="仿宋_GB2312"/>
          <w:kern w:val="0"/>
          <w:sz w:val="18"/>
          <w:szCs w:val="18"/>
        </w:rPr>
      </w:pPr>
      <w:r>
        <w:rPr>
          <w:rFonts w:hint="eastAsia" w:ascii="宋体" w:hAnsi="宋体" w:cs="仿宋_GB2312"/>
          <w:kern w:val="0"/>
          <w:sz w:val="18"/>
          <w:szCs w:val="18"/>
        </w:rPr>
        <w:t>二、本理财产品类型为</w:t>
      </w:r>
      <w:r>
        <w:rPr>
          <w:rFonts w:hint="eastAsia" w:ascii="宋体" w:hAnsi="宋体" w:cs="仿宋_GB2312"/>
          <w:b/>
          <w:kern w:val="0"/>
          <w:sz w:val="18"/>
          <w:szCs w:val="18"/>
        </w:rPr>
        <w:t>非保本浮动收益型</w:t>
      </w:r>
      <w:r>
        <w:rPr>
          <w:rFonts w:hint="eastAsia" w:ascii="宋体" w:hAnsi="宋体" w:cs="仿宋_GB2312"/>
          <w:kern w:val="0"/>
          <w:sz w:val="18"/>
          <w:szCs w:val="18"/>
        </w:rPr>
        <w:t>理财产品，新疆银行内部风险评级为</w:t>
      </w:r>
      <w:r>
        <w:rPr>
          <w:rFonts w:hint="eastAsia" w:ascii="宋体" w:hAnsi="宋体" w:cs="仿宋_GB2312"/>
          <w:kern w:val="0"/>
          <w:sz w:val="18"/>
          <w:szCs w:val="18"/>
          <w:lang w:eastAsia="zh-CN"/>
        </w:rPr>
        <w:t>中低风险</w:t>
      </w:r>
      <w:r>
        <w:rPr>
          <w:rFonts w:hint="eastAsia" w:ascii="宋体" w:hAnsi="宋体" w:cs="仿宋_GB2312"/>
          <w:kern w:val="0"/>
          <w:sz w:val="18"/>
          <w:szCs w:val="18"/>
        </w:rPr>
        <w:t>，产品要素详见《产品说明书》。</w:t>
      </w:r>
    </w:p>
    <w:p>
      <w:pPr>
        <w:ind w:firstLine="360" w:firstLineChars="200"/>
        <w:rPr>
          <w:rFonts w:ascii="宋体" w:hAnsi="宋体" w:cs="仿宋_GB2312"/>
          <w:kern w:val="0"/>
          <w:sz w:val="18"/>
          <w:szCs w:val="18"/>
        </w:rPr>
      </w:pPr>
      <w:r>
        <w:rPr>
          <w:rFonts w:hint="eastAsia" w:ascii="宋体" w:hAnsi="宋体" w:cs="仿宋_GB2312"/>
          <w:kern w:val="0"/>
          <w:sz w:val="18"/>
          <w:szCs w:val="18"/>
        </w:rPr>
        <w:t>三、根据中国银行业监督管理委员会相关监管规定对理财产品《风险揭示书》内容的要求，</w:t>
      </w:r>
      <w:r>
        <w:rPr>
          <w:rFonts w:hint="eastAsia" w:ascii="宋体" w:hAnsi="宋体"/>
          <w:bCs/>
          <w:sz w:val="18"/>
          <w:szCs w:val="18"/>
        </w:rPr>
        <w:t>新疆银行对</w:t>
      </w:r>
      <w:r>
        <w:rPr>
          <w:rFonts w:hint="eastAsia" w:ascii="宋体" w:hAnsi="宋体" w:cs="仿宋_GB2312"/>
          <w:kern w:val="0"/>
          <w:sz w:val="18"/>
          <w:szCs w:val="18"/>
        </w:rPr>
        <w:t>本理财产品不保证本金和收益，其风险评级为</w:t>
      </w:r>
      <w:r>
        <w:rPr>
          <w:rFonts w:hint="eastAsia" w:ascii="宋体" w:hAnsi="宋体" w:cs="仿宋_GB2312"/>
          <w:kern w:val="0"/>
          <w:sz w:val="18"/>
          <w:szCs w:val="18"/>
          <w:lang w:eastAsia="zh-CN"/>
        </w:rPr>
        <w:t>中低风险</w:t>
      </w:r>
      <w:r>
        <w:rPr>
          <w:rFonts w:hint="eastAsia" w:ascii="宋体" w:hAnsi="宋体" w:cs="仿宋_GB2312"/>
          <w:kern w:val="0"/>
          <w:sz w:val="18"/>
          <w:szCs w:val="18"/>
        </w:rPr>
        <w:t>，</w:t>
      </w:r>
      <w:r>
        <w:rPr>
          <w:rFonts w:hint="eastAsia" w:ascii="宋体" w:hAnsi="宋体"/>
          <w:bCs/>
          <w:sz w:val="18"/>
          <w:szCs w:val="18"/>
        </w:rPr>
        <w:t>客户可能会因为市场变动而蒙受重大损失，</w:t>
      </w:r>
      <w:r>
        <w:rPr>
          <w:rFonts w:hint="eastAsia" w:ascii="宋体" w:hAnsi="宋体"/>
          <w:sz w:val="18"/>
          <w:szCs w:val="18"/>
        </w:rPr>
        <w:t>在发生最不利的情况下（可能但不一定发生），投资者可能无法取得理财收益，并可能面临损失理财本金的风险。</w:t>
      </w:r>
      <w:r>
        <w:rPr>
          <w:rFonts w:hint="eastAsia" w:ascii="宋体" w:hAnsi="宋体" w:cs="仿宋_GB2312"/>
          <w:kern w:val="0"/>
          <w:sz w:val="18"/>
          <w:szCs w:val="18"/>
        </w:rPr>
        <w:t>您应充分认识投资风险，谨慎投资。客户投资本产品可能面临的风险主要包括（但不限于）：</w:t>
      </w:r>
    </w:p>
    <w:p>
      <w:pPr>
        <w:pStyle w:val="7"/>
        <w:ind w:firstLineChars="0"/>
        <w:rPr>
          <w:rFonts w:ascii="宋体" w:hAnsi="宋体" w:cs="仿宋_GB2312"/>
          <w:kern w:val="0"/>
          <w:sz w:val="18"/>
          <w:szCs w:val="18"/>
        </w:rPr>
      </w:pPr>
      <w:r>
        <w:rPr>
          <w:rFonts w:hint="eastAsia" w:ascii="宋体" w:hAnsi="宋体"/>
          <w:b/>
          <w:bCs/>
          <w:sz w:val="18"/>
          <w:szCs w:val="18"/>
        </w:rPr>
        <w:t>1、信用风险: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理财产品投资运作过程中，理财产品管理人将根据《产品说明书》的约定投资于相关金融工具或资产，如果相关投资的债务人、交易对手等发生违约，信用状况恶化等，客户将面临投资的本金和收益损失的风险。</w:t>
      </w:r>
    </w:p>
    <w:p>
      <w:pPr>
        <w:pStyle w:val="7"/>
        <w:ind w:firstLineChars="0"/>
        <w:rPr>
          <w:rFonts w:ascii="宋体" w:hAnsi="宋体" w:cs="仿宋_GB2312"/>
          <w:kern w:val="0"/>
          <w:sz w:val="18"/>
          <w:szCs w:val="18"/>
        </w:rPr>
      </w:pPr>
      <w:r>
        <w:rPr>
          <w:rFonts w:hint="eastAsia" w:ascii="宋体" w:hAnsi="宋体"/>
          <w:b/>
          <w:bCs/>
          <w:sz w:val="18"/>
          <w:szCs w:val="18"/>
        </w:rPr>
        <w:t>2、利率风险：</w:t>
      </w:r>
      <w:r>
        <w:rPr>
          <w:rFonts w:hint="eastAsia" w:ascii="宋体" w:hAnsi="宋体" w:cs="仿宋_GB2312"/>
          <w:kern w:val="0"/>
          <w:sz w:val="18"/>
          <w:szCs w:val="18"/>
        </w:rPr>
        <w:t>理财产品存续期内，如果市场利率发生变化，并导致本理财产品所投资产的收益率大幅下跌，则可能造成客户本金及收益遭受损失；如果物价指数上升，理财产品的收益率低于通货膨胀率，造成客户投资理财产品获得的实际收益率为负的风险。</w:t>
      </w:r>
    </w:p>
    <w:p>
      <w:pPr>
        <w:pStyle w:val="7"/>
        <w:ind w:firstLineChars="0"/>
        <w:rPr>
          <w:rFonts w:ascii="宋体" w:hAnsi="宋体" w:cs="仿宋_GB2312"/>
          <w:kern w:val="0"/>
          <w:sz w:val="18"/>
          <w:szCs w:val="18"/>
        </w:rPr>
      </w:pPr>
      <w:r>
        <w:rPr>
          <w:rFonts w:hint="eastAsia" w:ascii="宋体" w:hAnsi="宋体"/>
          <w:b/>
          <w:bCs/>
          <w:sz w:val="18"/>
          <w:szCs w:val="18"/>
        </w:rPr>
        <w:t>3、流动性风险：</w:t>
      </w:r>
      <w:r>
        <w:rPr>
          <w:rFonts w:hint="eastAsia" w:ascii="宋体" w:hAnsi="宋体" w:cs="仿宋_GB2312"/>
          <w:kern w:val="0"/>
          <w:sz w:val="18"/>
          <w:szCs w:val="18"/>
        </w:rPr>
        <w:t>理财期限内，投资本理财产品的客户不能提前终止或赎回，在产品存续期内如果投资者有流动性需求，客户不能够使用理财产品的资金，也因此丧失了投资其它更高收益的理财产品或资本市场产品的机会。理财产品配置的组合资产平均余期晚于本理财产品到期日时，理财产品到期后，组合中的未到期资产将按市场公允价值变现，实现对本期理财产品的本息兑付。</w:t>
      </w:r>
    </w:p>
    <w:p>
      <w:pPr>
        <w:pStyle w:val="7"/>
        <w:ind w:firstLineChars="0"/>
        <w:rPr>
          <w:rFonts w:ascii="宋体" w:hAnsi="宋体" w:cs="仿宋_GB2312"/>
          <w:kern w:val="0"/>
          <w:sz w:val="18"/>
          <w:szCs w:val="18"/>
        </w:rPr>
      </w:pPr>
      <w:r>
        <w:rPr>
          <w:rFonts w:hint="eastAsia" w:ascii="宋体" w:hAnsi="宋体" w:cs="仿宋_GB2312"/>
          <w:b/>
          <w:kern w:val="0"/>
          <w:sz w:val="18"/>
          <w:szCs w:val="18"/>
        </w:rPr>
        <w:t>4、法律与政策风险：</w:t>
      </w:r>
      <w:r>
        <w:rPr>
          <w:rFonts w:hint="eastAsia" w:ascii="宋体" w:hAnsi="宋体" w:cs="仿宋_GB2312"/>
          <w:kern w:val="0"/>
          <w:sz w:val="18"/>
          <w:szCs w:val="18"/>
        </w:rPr>
        <w:t>国家监管政策、货币政策、财政税收政策、产业政策、宏观政策及相关法律、法规的调整与变化将会影响本理财产品的设立、投资及管理等的正常运行，甚至导致本理财产品本金和收益发生损失。</w:t>
      </w:r>
    </w:p>
    <w:p>
      <w:pPr>
        <w:pStyle w:val="7"/>
        <w:ind w:firstLineChars="0"/>
        <w:rPr>
          <w:rFonts w:ascii="宋体" w:hAnsi="宋体" w:cs="仿宋_GB2312"/>
          <w:kern w:val="0"/>
          <w:sz w:val="18"/>
          <w:szCs w:val="18"/>
        </w:rPr>
      </w:pPr>
      <w:r>
        <w:rPr>
          <w:rFonts w:hint="eastAsia" w:ascii="宋体" w:hAnsi="宋体"/>
          <w:b/>
          <w:bCs/>
          <w:sz w:val="18"/>
          <w:szCs w:val="18"/>
        </w:rPr>
        <w:t>5、延期支付风险：</w:t>
      </w:r>
      <w:r>
        <w:rPr>
          <w:rFonts w:hint="eastAsia" w:ascii="宋体" w:hAnsi="宋体" w:cs="仿宋_GB2312"/>
          <w:kern w:val="0"/>
          <w:sz w:val="18"/>
          <w:szCs w:val="18"/>
        </w:rPr>
        <w:t>指因市场内部和外部的原因导致理财基础资产不能及时变现而造成理财产品不能按时兑付，理财期限将相应延长，从而导致本理财产品部分本金及收益的延期支付。</w:t>
      </w:r>
    </w:p>
    <w:p>
      <w:pPr>
        <w:pStyle w:val="7"/>
        <w:ind w:firstLineChars="0"/>
        <w:rPr>
          <w:rFonts w:ascii="宋体" w:hAnsi="宋体" w:cs="仿宋_GB2312"/>
          <w:kern w:val="0"/>
          <w:sz w:val="18"/>
          <w:szCs w:val="18"/>
        </w:rPr>
      </w:pPr>
      <w:r>
        <w:rPr>
          <w:rFonts w:hint="eastAsia" w:ascii="宋体" w:hAnsi="宋体" w:cs="仿宋_GB2312"/>
          <w:b/>
          <w:kern w:val="0"/>
          <w:sz w:val="18"/>
          <w:szCs w:val="18"/>
        </w:rPr>
        <w:t>6、早偿风险：</w:t>
      </w:r>
      <w:r>
        <w:rPr>
          <w:rFonts w:hint="eastAsia" w:ascii="宋体" w:hAnsi="宋体" w:cs="仿宋_GB2312"/>
          <w:kern w:val="0"/>
          <w:sz w:val="18"/>
          <w:szCs w:val="18"/>
        </w:rPr>
        <w:t>如遇国家金融政策重大调整影响产品正常运作时、本理财产品的投资资产等不能成立或者提前终止、或者司法机关要求、或发生其他新疆银行认为需要提前终止本理财产品等情况，新疆银行有权部分或全部提前终止本理财产品，投资者可能无法实现期初预期的全部收益，并将面临再投资机会风险。</w:t>
      </w:r>
    </w:p>
    <w:p>
      <w:pPr>
        <w:pStyle w:val="7"/>
        <w:ind w:firstLineChars="0"/>
        <w:rPr>
          <w:rFonts w:ascii="宋体" w:hAnsi="宋体" w:cs="仿宋_GB2312"/>
          <w:kern w:val="0"/>
          <w:sz w:val="18"/>
          <w:szCs w:val="18"/>
        </w:rPr>
      </w:pPr>
      <w:r>
        <w:rPr>
          <w:rFonts w:hint="eastAsia" w:ascii="宋体" w:hAnsi="宋体"/>
          <w:b/>
          <w:bCs/>
          <w:sz w:val="18"/>
          <w:szCs w:val="18"/>
        </w:rPr>
        <w:t>7、信息传递风险：</w:t>
      </w:r>
      <w:r>
        <w:rPr>
          <w:rFonts w:hint="eastAsia" w:ascii="宋体" w:hAnsi="宋体" w:cs="仿宋_GB2312"/>
          <w:kern w:val="0"/>
          <w:sz w:val="18"/>
          <w:szCs w:val="18"/>
        </w:rPr>
        <w:t>新疆银行按照有关信息披露条款的约定，发布理财产品的信息与公告。客户应根据信息披露条款的约定主动、及时登陆新疆银行网站（www.xjbank.com）或相关营业网点获取相关信息。如果客户未及时查询，或由于通讯故障、系统故障以及其他不可抗力等因素的影响使得客户无法及时了解产品信息，由此而产生的责任和风险由客户自行承担。如投资者预留的有效联系方式变更但未及时告知新疆银行的，致使在需要联系投资者时无法及时联系并可能会由此影响投资者的投资决策，由此而产生的责任和风险由客户自行承担。</w:t>
      </w:r>
    </w:p>
    <w:p>
      <w:pPr>
        <w:ind w:firstLine="450" w:firstLineChars="249"/>
        <w:rPr>
          <w:rFonts w:ascii="宋体" w:hAnsi="宋体"/>
          <w:bCs/>
          <w:sz w:val="18"/>
          <w:szCs w:val="18"/>
        </w:rPr>
      </w:pPr>
      <w:r>
        <w:rPr>
          <w:rFonts w:hint="eastAsia" w:ascii="宋体" w:hAnsi="宋体"/>
          <w:b/>
          <w:bCs/>
          <w:sz w:val="18"/>
          <w:szCs w:val="18"/>
        </w:rPr>
        <w:t>8、不可抗力及意外事件风险：</w:t>
      </w:r>
      <w:r>
        <w:rPr>
          <w:rFonts w:hint="eastAsia" w:ascii="宋体" w:hAnsi="宋体"/>
          <w:bCs/>
          <w:sz w:val="18"/>
          <w:szCs w:val="18"/>
        </w:rPr>
        <w:t>因战争、自然灾害、重大政治事件等不可抗力以及其他不可预见的意外事件可能致使理财产品面临损失的任何风险。</w:t>
      </w:r>
    </w:p>
    <w:p>
      <w:pPr>
        <w:pStyle w:val="7"/>
        <w:ind w:firstLineChars="0"/>
        <w:rPr>
          <w:rFonts w:ascii="宋体" w:hAnsi="宋体"/>
          <w:bCs/>
          <w:sz w:val="18"/>
          <w:szCs w:val="18"/>
        </w:rPr>
      </w:pPr>
      <w:r>
        <w:rPr>
          <w:rFonts w:hint="eastAsia" w:ascii="宋体" w:hAnsi="宋体"/>
          <w:b/>
          <w:bCs/>
          <w:sz w:val="18"/>
          <w:szCs w:val="18"/>
        </w:rPr>
        <w:t>9、管理人风险：</w:t>
      </w:r>
      <w:r>
        <w:rPr>
          <w:rFonts w:hint="eastAsia" w:ascii="宋体" w:hAnsi="宋体"/>
          <w:bCs/>
          <w:sz w:val="18"/>
          <w:szCs w:val="18"/>
        </w:rPr>
        <w:t>理财产品管理人或理财投资资产相关服务机构受经验、技能等因素的限制，或者上述主体处理事务不当等，可能导致客户收益遭受损失。</w:t>
      </w:r>
    </w:p>
    <w:p>
      <w:pPr>
        <w:pStyle w:val="7"/>
        <w:ind w:firstLineChars="0"/>
        <w:rPr>
          <w:rFonts w:ascii="宋体" w:hAnsi="宋体"/>
          <w:bCs/>
          <w:sz w:val="18"/>
          <w:szCs w:val="18"/>
        </w:rPr>
      </w:pPr>
      <w:r>
        <w:rPr>
          <w:rFonts w:hint="eastAsia" w:ascii="宋体" w:hAnsi="宋体"/>
          <w:b/>
          <w:bCs/>
          <w:sz w:val="18"/>
          <w:szCs w:val="18"/>
        </w:rPr>
        <w:t>10、理财产品不成立风险：</w:t>
      </w:r>
      <w:r>
        <w:rPr>
          <w:rFonts w:hint="eastAsia" w:ascii="宋体" w:hAnsi="宋体"/>
          <w:bCs/>
          <w:sz w:val="18"/>
          <w:szCs w:val="18"/>
        </w:rPr>
        <w:t>因市场发生剧烈波动或因不可抗力等原因，经新疆银行谨慎合理判断难以按照理财产品销售文件有关规定向投资人提供本理财产品，新疆银行有权宣布本理财产品不成立，投资人将承担投资本理财产品不成立的风险。</w:t>
      </w:r>
    </w:p>
    <w:p>
      <w:pPr>
        <w:autoSpaceDE w:val="0"/>
        <w:autoSpaceDN w:val="0"/>
        <w:adjustRightInd w:val="0"/>
        <w:ind w:firstLine="420"/>
        <w:jc w:val="left"/>
        <w:rPr>
          <w:rFonts w:ascii="宋体" w:hAnsi="宋体"/>
          <w:sz w:val="18"/>
          <w:szCs w:val="18"/>
        </w:rPr>
      </w:pPr>
      <w:r>
        <w:rPr>
          <w:rFonts w:hint="eastAsia" w:ascii="宋体" w:hAnsi="宋体" w:cs="仿宋_GB2312"/>
          <w:b/>
          <w:kern w:val="0"/>
          <w:sz w:val="18"/>
          <w:szCs w:val="18"/>
        </w:rPr>
        <w:t>四、最不利投资情形下的投资结果示例：</w:t>
      </w:r>
      <w:r>
        <w:rPr>
          <w:rFonts w:hint="eastAsia" w:ascii="宋体" w:hAnsi="宋体"/>
          <w:sz w:val="18"/>
          <w:szCs w:val="18"/>
        </w:rPr>
        <w:t>若理财产品运作期间，该理财产品投资标的出现风险，则客户可能无法获得约定的参考收益率，甚至客户的投资本金将遭受损失，在最不利的极端情况下，客户可能损失全部本金。</w:t>
      </w:r>
    </w:p>
    <w:p>
      <w:pPr>
        <w:ind w:left="540"/>
        <w:jc w:val="left"/>
        <w:rPr>
          <w:rFonts w:ascii="宋体" w:hAnsi="宋体"/>
          <w:sz w:val="18"/>
          <w:szCs w:val="18"/>
        </w:rPr>
      </w:pPr>
      <w:r>
        <w:rPr>
          <w:rFonts w:hint="eastAsia" w:ascii="宋体" w:hAnsi="宋体"/>
          <w:sz w:val="18"/>
          <w:szCs w:val="18"/>
        </w:rPr>
        <w:t>五、特别说明</w:t>
      </w:r>
    </w:p>
    <w:p>
      <w:pPr>
        <w:autoSpaceDE w:val="0"/>
        <w:autoSpaceDN w:val="0"/>
        <w:adjustRightInd w:val="0"/>
        <w:ind w:firstLine="362"/>
        <w:jc w:val="left"/>
        <w:rPr>
          <w:rFonts w:ascii="宋体" w:hAnsi="宋体"/>
          <w:sz w:val="18"/>
          <w:szCs w:val="18"/>
        </w:rPr>
      </w:pPr>
      <w:r>
        <w:rPr>
          <w:rFonts w:hint="eastAsia" w:ascii="宋体" w:hAnsi="宋体"/>
          <w:sz w:val="18"/>
          <w:szCs w:val="18"/>
        </w:rPr>
        <w:t>根据新疆银行内部风险评级管理办法，本产品属于</w:t>
      </w:r>
      <w:r>
        <w:rPr>
          <w:rFonts w:hint="eastAsia" w:ascii="宋体" w:hAnsi="宋体"/>
          <w:sz w:val="18"/>
          <w:szCs w:val="18"/>
          <w:lang w:eastAsia="zh-CN"/>
        </w:rPr>
        <w:t>中低风险</w:t>
      </w:r>
      <w:r>
        <w:rPr>
          <w:rFonts w:hint="eastAsia" w:ascii="宋体" w:hAnsi="宋体"/>
          <w:sz w:val="18"/>
          <w:szCs w:val="18"/>
        </w:rPr>
        <w:t>理财产品（本风险评级为我行内部评级结果，该评级结果仅供参考，不具备法律效力）。新疆银行将根据</w:t>
      </w:r>
      <w:r>
        <w:rPr>
          <w:rFonts w:hint="eastAsia" w:ascii="宋体" w:hAnsi="宋体"/>
          <w:sz w:val="18"/>
          <w:szCs w:val="18"/>
          <w:lang w:eastAsia="zh-CN"/>
        </w:rPr>
        <w:t>中低风险</w:t>
      </w:r>
      <w:r>
        <w:rPr>
          <w:rFonts w:hint="eastAsia" w:ascii="宋体" w:hAnsi="宋体"/>
          <w:sz w:val="18"/>
          <w:szCs w:val="18"/>
        </w:rPr>
        <w:t>理财产品的运作要求对本理财产品进行管理，确保其在理财产品存续期间维持内部“</w:t>
      </w:r>
      <w:r>
        <w:rPr>
          <w:rFonts w:hint="eastAsia" w:ascii="宋体" w:hAnsi="宋体"/>
          <w:sz w:val="18"/>
          <w:szCs w:val="18"/>
          <w:lang w:eastAsia="zh-CN"/>
        </w:rPr>
        <w:t>中低风险</w:t>
      </w:r>
      <w:r>
        <w:rPr>
          <w:rFonts w:hint="eastAsia" w:ascii="宋体" w:hAnsi="宋体"/>
          <w:sz w:val="18"/>
          <w:szCs w:val="18"/>
        </w:rPr>
        <w:t>产品”的风险评级。</w:t>
      </w:r>
    </w:p>
    <w:p>
      <w:pPr>
        <w:pStyle w:val="6"/>
        <w:tabs>
          <w:tab w:val="left" w:pos="142"/>
        </w:tabs>
        <w:spacing w:line="380" w:lineRule="exact"/>
        <w:ind w:firstLine="360"/>
        <w:jc w:val="left"/>
        <w:rPr>
          <w:rFonts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新疆银行内部风险评级说明（供参考）：</w:t>
      </w:r>
    </w:p>
    <w:tbl>
      <w:tblPr>
        <w:tblStyle w:val="4"/>
        <w:tblW w:w="8503" w:type="dxa"/>
        <w:jc w:val="center"/>
        <w:tblLayout w:type="fixed"/>
        <w:tblCellMar>
          <w:top w:w="0" w:type="dxa"/>
          <w:left w:w="0" w:type="dxa"/>
          <w:bottom w:w="0" w:type="dxa"/>
          <w:right w:w="0" w:type="dxa"/>
        </w:tblCellMar>
      </w:tblPr>
      <w:tblGrid>
        <w:gridCol w:w="2713"/>
        <w:gridCol w:w="5790"/>
      </w:tblGrid>
      <w:tr>
        <w:tblPrEx>
          <w:tblCellMar>
            <w:top w:w="0" w:type="dxa"/>
            <w:left w:w="0" w:type="dxa"/>
            <w:bottom w:w="0" w:type="dxa"/>
            <w:right w:w="0" w:type="dxa"/>
          </w:tblCellMar>
        </w:tblPrEx>
        <w:trPr>
          <w:trHeight w:val="582" w:hRule="atLeast"/>
          <w:jc w:val="center"/>
        </w:trPr>
        <w:tc>
          <w:tcPr>
            <w:tcW w:w="27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wordWrap w:val="0"/>
              <w:spacing w:line="460" w:lineRule="exact"/>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风险类型</w:t>
            </w:r>
          </w:p>
        </w:tc>
        <w:tc>
          <w:tcPr>
            <w:tcW w:w="57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wordWrap w:val="0"/>
              <w:spacing w:line="460" w:lineRule="exact"/>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风险特征描述</w:t>
            </w:r>
          </w:p>
        </w:tc>
      </w:tr>
      <w:tr>
        <w:tblPrEx>
          <w:tblCellMar>
            <w:top w:w="0" w:type="dxa"/>
            <w:left w:w="0" w:type="dxa"/>
            <w:bottom w:w="0" w:type="dxa"/>
            <w:right w:w="0" w:type="dxa"/>
          </w:tblCellMar>
        </w:tblPrEx>
        <w:trPr>
          <w:trHeight w:val="582" w:hRule="atLeast"/>
          <w:jc w:val="center"/>
        </w:trPr>
        <w:tc>
          <w:tcPr>
            <w:tcW w:w="27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center"/>
              <w:rPr>
                <w:rFonts w:asciiTheme="minorEastAsia" w:hAnsiTheme="minorEastAsia" w:eastAsiaTheme="minorEastAsia" w:cstheme="minorEastAsia"/>
                <w:bCs/>
                <w:color w:val="000000"/>
                <w:sz w:val="18"/>
                <w:szCs w:val="18"/>
              </w:rPr>
            </w:pPr>
            <w:r>
              <w:rPr>
                <w:rFonts w:hint="eastAsia" w:ascii="仿宋" w:hAnsi="仿宋" w:eastAsia="仿宋" w:cs="仿宋"/>
                <w:szCs w:val="21"/>
              </w:rPr>
              <w:t>低风险</w:t>
            </w:r>
          </w:p>
        </w:tc>
        <w:tc>
          <w:tcPr>
            <w:tcW w:w="57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left"/>
              <w:rPr>
                <w:rFonts w:asciiTheme="minorEastAsia" w:hAnsiTheme="minorEastAsia" w:eastAsiaTheme="minorEastAsia" w:cstheme="minorEastAsia"/>
                <w:bCs/>
                <w:color w:val="000000"/>
                <w:sz w:val="18"/>
                <w:szCs w:val="18"/>
              </w:rPr>
            </w:pPr>
            <w:r>
              <w:rPr>
                <w:rFonts w:hint="eastAsia" w:ascii="仿宋" w:hAnsi="仿宋" w:eastAsia="仿宋" w:cs="仿宋"/>
                <w:szCs w:val="21"/>
              </w:rPr>
              <w:t>产品总体风险程度低，收益波动小，产品本金安全性高，收益不能实现的可能性很小，产品本金出现损失的可能性小。</w:t>
            </w:r>
          </w:p>
        </w:tc>
      </w:tr>
      <w:tr>
        <w:tblPrEx>
          <w:tblCellMar>
            <w:top w:w="0" w:type="dxa"/>
            <w:left w:w="0" w:type="dxa"/>
            <w:bottom w:w="0" w:type="dxa"/>
            <w:right w:w="0" w:type="dxa"/>
          </w:tblCellMar>
        </w:tblPrEx>
        <w:trPr>
          <w:trHeight w:val="582" w:hRule="atLeast"/>
          <w:jc w:val="center"/>
        </w:trPr>
        <w:tc>
          <w:tcPr>
            <w:tcW w:w="27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center"/>
              <w:rPr>
                <w:rFonts w:hint="eastAsia" w:asciiTheme="minorEastAsia" w:hAnsiTheme="minorEastAsia" w:eastAsiaTheme="minorEastAsia" w:cstheme="minorEastAsia"/>
                <w:bCs/>
                <w:color w:val="000000"/>
                <w:sz w:val="18"/>
                <w:szCs w:val="18"/>
                <w:lang w:eastAsia="zh-CN"/>
              </w:rPr>
            </w:pPr>
            <w:r>
              <w:rPr>
                <w:rFonts w:hint="eastAsia" w:ascii="仿宋" w:hAnsi="仿宋" w:eastAsia="仿宋" w:cs="仿宋"/>
                <w:szCs w:val="21"/>
              </w:rPr>
              <w:t>中低风险</w:t>
            </w:r>
          </w:p>
        </w:tc>
        <w:tc>
          <w:tcPr>
            <w:tcW w:w="57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left"/>
              <w:rPr>
                <w:rFonts w:asciiTheme="minorEastAsia" w:hAnsiTheme="minorEastAsia" w:eastAsiaTheme="minorEastAsia" w:cstheme="minorEastAsia"/>
                <w:bCs/>
                <w:color w:val="000000"/>
                <w:sz w:val="18"/>
                <w:szCs w:val="18"/>
              </w:rPr>
            </w:pPr>
            <w:r>
              <w:rPr>
                <w:rFonts w:hint="eastAsia" w:ascii="仿宋" w:hAnsi="仿宋" w:eastAsia="仿宋" w:cs="仿宋"/>
                <w:szCs w:val="21"/>
              </w:rPr>
              <w:t>产品总体风险程度较低，收益波动较小，虽然存在一些可能对产品本金和收益安全产生不利影响的因素，但产品本金出现损失的可能性较小。</w:t>
            </w:r>
          </w:p>
        </w:tc>
      </w:tr>
      <w:tr>
        <w:tblPrEx>
          <w:tblCellMar>
            <w:top w:w="0" w:type="dxa"/>
            <w:left w:w="0" w:type="dxa"/>
            <w:bottom w:w="0" w:type="dxa"/>
            <w:right w:w="0" w:type="dxa"/>
          </w:tblCellMar>
        </w:tblPrEx>
        <w:trPr>
          <w:trHeight w:val="582" w:hRule="atLeast"/>
          <w:jc w:val="center"/>
        </w:trPr>
        <w:tc>
          <w:tcPr>
            <w:tcW w:w="27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center"/>
              <w:rPr>
                <w:rFonts w:asciiTheme="minorEastAsia" w:hAnsiTheme="minorEastAsia" w:eastAsiaTheme="minorEastAsia" w:cstheme="minorEastAsia"/>
                <w:bCs/>
                <w:color w:val="000000"/>
                <w:sz w:val="18"/>
                <w:szCs w:val="18"/>
              </w:rPr>
            </w:pPr>
            <w:r>
              <w:rPr>
                <w:rFonts w:hint="eastAsia" w:ascii="仿宋" w:hAnsi="仿宋" w:eastAsia="仿宋" w:cs="仿宋"/>
                <w:szCs w:val="21"/>
              </w:rPr>
              <w:t>中等风险</w:t>
            </w:r>
          </w:p>
        </w:tc>
        <w:tc>
          <w:tcPr>
            <w:tcW w:w="57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left"/>
              <w:rPr>
                <w:rFonts w:asciiTheme="minorEastAsia" w:hAnsiTheme="minorEastAsia" w:eastAsiaTheme="minorEastAsia" w:cstheme="minorEastAsia"/>
                <w:bCs/>
                <w:color w:val="000000"/>
                <w:sz w:val="18"/>
                <w:szCs w:val="18"/>
              </w:rPr>
            </w:pPr>
            <w:r>
              <w:rPr>
                <w:rFonts w:hint="eastAsia" w:ascii="仿宋" w:hAnsi="仿宋" w:eastAsia="仿宋" w:cs="仿宋"/>
                <w:szCs w:val="21"/>
              </w:rPr>
              <w:t>产品总体风险程度适中，收益存在一定的波动，产品本金出现损失的可能性不容忽视。</w:t>
            </w:r>
          </w:p>
        </w:tc>
      </w:tr>
      <w:tr>
        <w:tblPrEx>
          <w:tblCellMar>
            <w:top w:w="0" w:type="dxa"/>
            <w:left w:w="0" w:type="dxa"/>
            <w:bottom w:w="0" w:type="dxa"/>
            <w:right w:w="0" w:type="dxa"/>
          </w:tblCellMar>
        </w:tblPrEx>
        <w:trPr>
          <w:trHeight w:val="582" w:hRule="atLeast"/>
          <w:jc w:val="center"/>
        </w:trPr>
        <w:tc>
          <w:tcPr>
            <w:tcW w:w="27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center"/>
              <w:rPr>
                <w:rFonts w:asciiTheme="minorEastAsia" w:hAnsiTheme="minorEastAsia" w:eastAsiaTheme="minorEastAsia" w:cstheme="minorEastAsia"/>
                <w:bCs/>
                <w:color w:val="000000"/>
                <w:sz w:val="18"/>
                <w:szCs w:val="18"/>
              </w:rPr>
            </w:pPr>
            <w:r>
              <w:rPr>
                <w:rFonts w:hint="eastAsia" w:ascii="仿宋" w:hAnsi="仿宋" w:eastAsia="仿宋" w:cs="仿宋"/>
                <w:szCs w:val="21"/>
              </w:rPr>
              <w:t>较高风险</w:t>
            </w:r>
          </w:p>
        </w:tc>
        <w:tc>
          <w:tcPr>
            <w:tcW w:w="57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left"/>
              <w:rPr>
                <w:rFonts w:asciiTheme="minorEastAsia" w:hAnsiTheme="minorEastAsia" w:eastAsiaTheme="minorEastAsia" w:cstheme="minorEastAsia"/>
                <w:bCs/>
                <w:color w:val="000000"/>
                <w:sz w:val="18"/>
                <w:szCs w:val="18"/>
              </w:rPr>
            </w:pPr>
            <w:r>
              <w:rPr>
                <w:rFonts w:hint="eastAsia" w:ascii="仿宋" w:hAnsi="仿宋" w:eastAsia="仿宋" w:cs="仿宋"/>
                <w:szCs w:val="21"/>
              </w:rPr>
              <w:t>产品总体风险程度较高，收益波动较明显，产品本金出现损失的可能性高。</w:t>
            </w:r>
          </w:p>
        </w:tc>
      </w:tr>
      <w:tr>
        <w:tblPrEx>
          <w:tblCellMar>
            <w:top w:w="0" w:type="dxa"/>
            <w:left w:w="0" w:type="dxa"/>
            <w:bottom w:w="0" w:type="dxa"/>
            <w:right w:w="0" w:type="dxa"/>
          </w:tblCellMar>
        </w:tblPrEx>
        <w:trPr>
          <w:trHeight w:val="582" w:hRule="atLeast"/>
          <w:jc w:val="center"/>
        </w:trPr>
        <w:tc>
          <w:tcPr>
            <w:tcW w:w="27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center"/>
              <w:rPr>
                <w:rFonts w:asciiTheme="minorEastAsia" w:hAnsiTheme="minorEastAsia" w:eastAsiaTheme="minorEastAsia" w:cstheme="minorEastAsia"/>
                <w:bCs/>
                <w:color w:val="000000"/>
                <w:sz w:val="18"/>
                <w:szCs w:val="18"/>
              </w:rPr>
            </w:pPr>
            <w:r>
              <w:rPr>
                <w:rFonts w:hint="eastAsia" w:ascii="仿宋" w:hAnsi="仿宋" w:eastAsia="仿宋" w:cs="仿宋"/>
                <w:szCs w:val="21"/>
              </w:rPr>
              <w:t>高风险</w:t>
            </w:r>
          </w:p>
        </w:tc>
        <w:tc>
          <w:tcPr>
            <w:tcW w:w="57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spacing w:line="296" w:lineRule="exact"/>
              <w:jc w:val="left"/>
              <w:rPr>
                <w:rFonts w:asciiTheme="minorEastAsia" w:hAnsiTheme="minorEastAsia" w:eastAsiaTheme="minorEastAsia" w:cstheme="minorEastAsia"/>
                <w:bCs/>
                <w:color w:val="000000"/>
                <w:sz w:val="18"/>
                <w:szCs w:val="18"/>
              </w:rPr>
            </w:pPr>
            <w:r>
              <w:rPr>
                <w:rFonts w:hint="eastAsia" w:ascii="仿宋" w:hAnsi="仿宋" w:eastAsia="仿宋" w:cs="仿宋"/>
                <w:szCs w:val="21"/>
              </w:rPr>
              <w:t>产品总体风险程度高，收益波动明显，产品本金出现损失的可能性很高，产品本金出现全部损失的可能性不容忽视。</w:t>
            </w:r>
          </w:p>
        </w:tc>
      </w:tr>
    </w:tbl>
    <w:p>
      <w:pPr>
        <w:autoSpaceDE w:val="0"/>
        <w:autoSpaceDN w:val="0"/>
        <w:adjustRightInd w:val="0"/>
        <w:jc w:val="left"/>
        <w:rPr>
          <w:rFonts w:ascii="宋体" w:hAnsi="宋体"/>
          <w:sz w:val="18"/>
          <w:szCs w:val="18"/>
        </w:rPr>
      </w:pPr>
    </w:p>
    <w:p>
      <w:pPr>
        <w:ind w:firstLine="360" w:firstLineChars="200"/>
        <w:rPr>
          <w:rFonts w:ascii="宋体" w:hAnsi="宋体" w:cs="Arial"/>
          <w:sz w:val="18"/>
          <w:szCs w:val="18"/>
        </w:rPr>
      </w:pPr>
      <w:r>
        <w:rPr>
          <w:rFonts w:hint="eastAsia" w:ascii="宋体" w:hAnsi="宋体" w:cs="Arial"/>
          <w:sz w:val="18"/>
          <w:szCs w:val="18"/>
        </w:rPr>
        <w:t>本机构已仔细阅读理财产品销售文件，己完全理解理财产品投资的性质和面临的风险，</w:t>
      </w:r>
      <w:r>
        <w:rPr>
          <w:rFonts w:hint="eastAsia" w:ascii="宋体" w:hAnsi="宋体" w:cs="Arial"/>
          <w:b/>
          <w:sz w:val="18"/>
          <w:szCs w:val="18"/>
        </w:rPr>
        <w:t>本机构确认新疆银行相关业务人员对于理财产品销售文件中限制本机构权利、增加本机构义务以及有关免除、限制新疆银行责任或新疆银行单方面拥有某些权利的条款已向本机构予以说明，本机构完全理解并自愿接受。</w:t>
      </w:r>
    </w:p>
    <w:p>
      <w:pPr>
        <w:autoSpaceDE w:val="0"/>
        <w:autoSpaceDN w:val="0"/>
        <w:adjustRightInd w:val="0"/>
        <w:ind w:firstLine="420"/>
        <w:jc w:val="left"/>
        <w:rPr>
          <w:rFonts w:ascii="宋体" w:hAnsi="宋体"/>
          <w:sz w:val="24"/>
        </w:rPr>
      </w:pPr>
    </w:p>
    <w:p>
      <w:pPr>
        <w:autoSpaceDE w:val="0"/>
        <w:autoSpaceDN w:val="0"/>
        <w:adjustRightInd w:val="0"/>
        <w:ind w:firstLine="420"/>
        <w:jc w:val="right"/>
        <w:rPr>
          <w:rFonts w:ascii="宋体" w:hAnsi="宋体"/>
          <w:sz w:val="18"/>
          <w:szCs w:val="18"/>
        </w:rPr>
      </w:pPr>
    </w:p>
    <w:p>
      <w:pPr>
        <w:autoSpaceDE w:val="0"/>
        <w:autoSpaceDN w:val="0"/>
        <w:adjustRightInd w:val="0"/>
        <w:ind w:firstLine="420"/>
        <w:jc w:val="right"/>
        <w:rPr>
          <w:rFonts w:ascii="宋体" w:hAnsi="宋体"/>
          <w:sz w:val="18"/>
          <w:szCs w:val="18"/>
        </w:rPr>
      </w:pPr>
      <w:r>
        <w:rPr>
          <w:rFonts w:hint="eastAsia" w:ascii="宋体" w:hAnsi="宋体"/>
          <w:sz w:val="18"/>
          <w:szCs w:val="18"/>
        </w:rPr>
        <w:t>风险揭示方：新疆银行股份有限公司</w:t>
      </w:r>
    </w:p>
    <w:p>
      <w:pPr>
        <w:ind w:left="540" w:right="240"/>
        <w:jc w:val="right"/>
        <w:rPr>
          <w:rFonts w:ascii="宋体" w:hAnsi="宋体" w:cs="Arial"/>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黑简体">
    <w:altName w:val="黑体"/>
    <w:panose1 w:val="02010601030101010101"/>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1CA"/>
    <w:rsid w:val="000A631D"/>
    <w:rsid w:val="002201CA"/>
    <w:rsid w:val="00274626"/>
    <w:rsid w:val="00275821"/>
    <w:rsid w:val="002E5F02"/>
    <w:rsid w:val="004057DD"/>
    <w:rsid w:val="00517287"/>
    <w:rsid w:val="0057378D"/>
    <w:rsid w:val="005F20A1"/>
    <w:rsid w:val="00652AEB"/>
    <w:rsid w:val="006C1031"/>
    <w:rsid w:val="006D0B53"/>
    <w:rsid w:val="0071704D"/>
    <w:rsid w:val="007C706D"/>
    <w:rsid w:val="008C4281"/>
    <w:rsid w:val="009734B7"/>
    <w:rsid w:val="009F697B"/>
    <w:rsid w:val="00A35268"/>
    <w:rsid w:val="00B32951"/>
    <w:rsid w:val="00C12E48"/>
    <w:rsid w:val="00D47B19"/>
    <w:rsid w:val="00D76A23"/>
    <w:rsid w:val="00D87414"/>
    <w:rsid w:val="00DC36B3"/>
    <w:rsid w:val="00F2720B"/>
    <w:rsid w:val="062139CB"/>
    <w:rsid w:val="066061BB"/>
    <w:rsid w:val="12C56D8D"/>
    <w:rsid w:val="5C437B84"/>
    <w:rsid w:val="5E227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_Style 2"/>
    <w:basedOn w:val="1"/>
    <w:qFormat/>
    <w:uiPriority w:val="34"/>
    <w:pPr>
      <w:ind w:firstLine="420" w:firstLineChars="200"/>
    </w:pPr>
  </w:style>
  <w:style w:type="paragraph" w:customStyle="1" w:styleId="7">
    <w:name w:val="列出段落1"/>
    <w:basedOn w:val="1"/>
    <w:qFormat/>
    <w:uiPriority w:val="34"/>
    <w:pPr>
      <w:ind w:firstLine="420" w:firstLineChars="200"/>
    </w:pPr>
    <w:rPr>
      <w:rFonts w:cs="Times New Roman"/>
      <w:szCs w:val="24"/>
    </w:rPr>
  </w:style>
  <w:style w:type="character" w:customStyle="1" w:styleId="8">
    <w:name w:val="页眉 Char"/>
    <w:basedOn w:val="5"/>
    <w:link w:val="3"/>
    <w:semiHidden/>
    <w:qFormat/>
    <w:uiPriority w:val="99"/>
    <w:rPr>
      <w:rFonts w:ascii="Times New Roman" w:hAnsi="Times New Roman" w:eastAsia="宋体"/>
      <w:kern w:val="2"/>
      <w:sz w:val="18"/>
      <w:szCs w:val="18"/>
    </w:rPr>
  </w:style>
  <w:style w:type="character" w:customStyle="1" w:styleId="9">
    <w:name w:val="页脚 Char"/>
    <w:basedOn w:val="5"/>
    <w:link w:val="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352</Words>
  <Characters>2011</Characters>
  <Lines>16</Lines>
  <Paragraphs>4</Paragraphs>
  <TotalTime>1</TotalTime>
  <ScaleCrop>false</ScaleCrop>
  <LinksUpToDate>false</LinksUpToDate>
  <CharactersWithSpaces>2359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2019-10-08T10:21:00Z</dcterms:created>
  <dc:creator>曹文芳</dc:creator>
  <cp:lastModifiedBy>曹旭红</cp:lastModifiedBy>
  <dcterms:modified xsi:type="dcterms:W3CDTF">2020-08-07T01:22:49Z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