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beforeLines="50" w:line="360" w:lineRule="auto"/>
        <w:jc w:val="center"/>
        <w:rPr>
          <w:rStyle w:val="9"/>
          <w:rFonts w:hint="eastAsia" w:ascii="黑体" w:hAnsi="黑体" w:eastAsia="黑体" w:cs="宋体"/>
          <w:b w:val="0"/>
          <w:kern w:val="0"/>
          <w:sz w:val="28"/>
          <w:szCs w:val="28"/>
        </w:rPr>
      </w:pPr>
      <w:r>
        <w:rPr>
          <w:rStyle w:val="9"/>
          <w:rFonts w:hint="eastAsia" w:ascii="黑体" w:hAnsi="黑体" w:eastAsia="黑体" w:cs="宋体"/>
          <w:b w:val="0"/>
          <w:kern w:val="0"/>
          <w:sz w:val="28"/>
          <w:szCs w:val="28"/>
        </w:rPr>
        <w:t>新疆银行“金胡杨”净值型人民币理财产品协议书</w:t>
      </w:r>
    </w:p>
    <w:p>
      <w:pPr>
        <w:widowControl/>
        <w:adjustRightInd w:val="0"/>
        <w:snapToGrid w:val="0"/>
        <w:spacing w:beforeLines="50" w:line="360" w:lineRule="auto"/>
        <w:jc w:val="center"/>
        <w:rPr>
          <w:rStyle w:val="9"/>
          <w:rFonts w:hint="eastAsia" w:ascii="黑体" w:hAnsi="黑体" w:eastAsia="黑体" w:cs="宋体"/>
          <w:b w:val="0"/>
          <w:kern w:val="0"/>
          <w:sz w:val="28"/>
          <w:szCs w:val="28"/>
        </w:rPr>
      </w:pPr>
      <w:r>
        <w:rPr>
          <w:rStyle w:val="9"/>
          <w:rFonts w:hint="eastAsia" w:ascii="宋体" w:hAnsi="宋体" w:cs="宋体"/>
          <w:kern w:val="0"/>
          <w:sz w:val="18"/>
          <w:szCs w:val="18"/>
        </w:rPr>
        <w:t>理财产品过往业绩不代表其未来表现，不等于理财产品实际收益</w:t>
      </w:r>
      <w:r>
        <w:rPr>
          <w:rStyle w:val="9"/>
          <w:rFonts w:cs="宋体"/>
          <w:bCs w:val="0"/>
          <w:sz w:val="18"/>
          <w:szCs w:val="18"/>
        </w:rPr>
        <w:t xml:space="preserve"> </w:t>
      </w:r>
    </w:p>
    <w:p>
      <w:pPr>
        <w:widowControl/>
        <w:spacing w:line="400" w:lineRule="exact"/>
        <w:jc w:val="center"/>
        <w:rPr>
          <w:rStyle w:val="9"/>
          <w:rFonts w:ascii="宋体" w:hAnsi="宋体" w:cs="宋体"/>
          <w:kern w:val="0"/>
          <w:sz w:val="18"/>
          <w:szCs w:val="18"/>
        </w:rPr>
      </w:pPr>
      <w:r>
        <w:rPr>
          <w:rStyle w:val="9"/>
          <w:rFonts w:hint="eastAsia" w:ascii="宋体" w:hAnsi="宋体" w:cs="宋体"/>
          <w:kern w:val="0"/>
          <w:sz w:val="18"/>
          <w:szCs w:val="18"/>
        </w:rPr>
        <w:t>理财非存款、产品有风险、投资须谨慎</w:t>
      </w:r>
    </w:p>
    <w:p>
      <w:pPr>
        <w:widowControl/>
        <w:adjustRightInd w:val="0"/>
        <w:snapToGrid w:val="0"/>
        <w:spacing w:beforeLines="50" w:line="360" w:lineRule="auto"/>
        <w:ind w:firstLine="570"/>
        <w:jc w:val="left"/>
        <w:rPr>
          <w:rStyle w:val="9"/>
          <w:rFonts w:cs="宋体" w:asciiTheme="minorEastAsia" w:hAnsiTheme="minorEastAsia" w:eastAsiaTheme="minorEastAsia"/>
          <w:b w:val="0"/>
          <w:kern w:val="0"/>
          <w:szCs w:val="21"/>
        </w:rPr>
      </w:pPr>
      <w:r>
        <w:rPr>
          <w:rStyle w:val="9"/>
          <w:rFonts w:hint="eastAsia" w:cs="宋体" w:asciiTheme="minorEastAsia" w:hAnsiTheme="minorEastAsia" w:eastAsiaTheme="minorEastAsia"/>
          <w:b w:val="0"/>
          <w:kern w:val="0"/>
          <w:szCs w:val="21"/>
        </w:rPr>
        <w:t>甲方（投资者）自愿购买乙方（银行）发行的理财产品，经双方协商一致，签订本协议。本协议为规范甲乙双方在理财业务中权利和义务的法律文件。</w:t>
      </w:r>
      <w:bookmarkStart w:id="0" w:name="_GoBack"/>
      <w:bookmarkEnd w:id="0"/>
    </w:p>
    <w:tbl>
      <w:tblPr>
        <w:tblStyle w:val="6"/>
        <w:tblW w:w="996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5"/>
        <w:gridCol w:w="875"/>
        <w:gridCol w:w="371"/>
        <w:gridCol w:w="1245"/>
        <w:gridCol w:w="200"/>
        <w:gridCol w:w="854"/>
        <w:gridCol w:w="219"/>
        <w:gridCol w:w="486"/>
        <w:gridCol w:w="713"/>
        <w:gridCol w:w="46"/>
        <w:gridCol w:w="1367"/>
        <w:gridCol w:w="18"/>
        <w:gridCol w:w="1106"/>
        <w:gridCol w:w="1217"/>
      </w:tblGrid>
      <w:tr>
        <w:tblPrEx>
          <w:tblCellMar>
            <w:top w:w="0" w:type="dxa"/>
            <w:left w:w="108" w:type="dxa"/>
            <w:bottom w:w="0" w:type="dxa"/>
            <w:right w:w="108" w:type="dxa"/>
          </w:tblCellMar>
        </w:tblPrEx>
        <w:trPr>
          <w:trHeight w:val="270" w:hRule="atLeast"/>
        </w:trPr>
        <w:tc>
          <w:tcPr>
            <w:tcW w:w="9962" w:type="dxa"/>
            <w:gridSpan w:val="14"/>
            <w:tcBorders>
              <w:bottom w:val="single" w:color="000000" w:sz="4" w:space="0"/>
            </w:tcBorders>
            <w:shd w:val="clear" w:color="auto" w:fill="3399FF"/>
          </w:tcPr>
          <w:p>
            <w:pPr>
              <w:widowControl/>
              <w:jc w:val="center"/>
              <w:rPr>
                <w:rFonts w:cs="宋体" w:asciiTheme="minorEastAsia" w:hAnsiTheme="minorEastAsia" w:eastAsiaTheme="minorEastAsia"/>
                <w:b/>
                <w:color w:val="000000"/>
                <w:kern w:val="0"/>
                <w:sz w:val="22"/>
              </w:rPr>
            </w:pPr>
            <w:r>
              <w:rPr>
                <w:rFonts w:hint="eastAsia" w:cs="宋体" w:asciiTheme="minorEastAsia" w:hAnsiTheme="minorEastAsia" w:eastAsiaTheme="minorEastAsia"/>
                <w:b/>
                <w:color w:val="000000"/>
                <w:kern w:val="0"/>
                <w:sz w:val="22"/>
              </w:rPr>
              <w:t>一、基本信息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9962" w:type="dxa"/>
            <w:gridSpan w:val="14"/>
            <w:tcBorders>
              <w:bottom w:val="single" w:color="000000" w:sz="4" w:space="0"/>
            </w:tcBorders>
            <w:shd w:val="clear" w:color="auto" w:fill="3399FF"/>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甲方基本信息（投资者基本信息）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9962" w:type="dxa"/>
            <w:gridSpan w:val="14"/>
            <w:tcBorders>
              <w:top w:val="single" w:color="000000" w:sz="4" w:space="0"/>
              <w:left w:val="single" w:color="000000" w:sz="4" w:space="0"/>
              <w:right w:val="single" w:color="000000" w:sz="4" w:space="0"/>
            </w:tcBorders>
            <w:shd w:val="clear" w:color="auto" w:fill="3399FF"/>
          </w:tcPr>
          <w:p>
            <w:pPr>
              <w:jc w:val="center"/>
              <w:rPr>
                <w:rFonts w:cs="宋体" w:asciiTheme="minorEastAsia" w:hAnsiTheme="minorEastAsia" w:eastAsiaTheme="minorEastAsia"/>
                <w:b/>
                <w:color w:val="000000"/>
                <w:kern w:val="0"/>
                <w:sz w:val="22"/>
              </w:rPr>
            </w:pPr>
            <w:r>
              <w:rPr>
                <w:rFonts w:hint="eastAsia" w:cs="宋体" w:asciiTheme="minorEastAsia" w:hAnsiTheme="minorEastAsia" w:eastAsiaTheme="minorEastAsia"/>
                <w:b/>
                <w:color w:val="000000"/>
                <w:kern w:val="0"/>
                <w:sz w:val="22"/>
              </w:rPr>
              <w:t>个人投资者填写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245" w:type="dxa"/>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姓名</w:t>
            </w:r>
          </w:p>
        </w:tc>
        <w:tc>
          <w:tcPr>
            <w:tcW w:w="1246" w:type="dxa"/>
            <w:gridSpan w:val="2"/>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1245" w:type="dxa"/>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性别</w:t>
            </w:r>
          </w:p>
        </w:tc>
        <w:tc>
          <w:tcPr>
            <w:tcW w:w="1273" w:type="dxa"/>
            <w:gridSpan w:val="3"/>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1245" w:type="dxa"/>
            <w:gridSpan w:val="3"/>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国籍</w:t>
            </w:r>
          </w:p>
        </w:tc>
        <w:tc>
          <w:tcPr>
            <w:tcW w:w="1385" w:type="dxa"/>
            <w:gridSpan w:val="2"/>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1106" w:type="dxa"/>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职业</w:t>
            </w:r>
          </w:p>
        </w:tc>
        <w:tc>
          <w:tcPr>
            <w:tcW w:w="1217" w:type="dxa"/>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245" w:type="dxa"/>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证件种类</w:t>
            </w:r>
          </w:p>
        </w:tc>
        <w:tc>
          <w:tcPr>
            <w:tcW w:w="1246" w:type="dxa"/>
            <w:gridSpan w:val="2"/>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1245" w:type="dxa"/>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证件号码</w:t>
            </w:r>
          </w:p>
        </w:tc>
        <w:tc>
          <w:tcPr>
            <w:tcW w:w="2518" w:type="dxa"/>
            <w:gridSpan w:val="6"/>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1385" w:type="dxa"/>
            <w:gridSpan w:val="2"/>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证件有效期</w:t>
            </w:r>
          </w:p>
        </w:tc>
        <w:tc>
          <w:tcPr>
            <w:tcW w:w="2323" w:type="dxa"/>
            <w:gridSpan w:val="2"/>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245" w:type="dxa"/>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家庭地址</w:t>
            </w:r>
          </w:p>
        </w:tc>
        <w:tc>
          <w:tcPr>
            <w:tcW w:w="5009" w:type="dxa"/>
            <w:gridSpan w:val="9"/>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1385" w:type="dxa"/>
            <w:gridSpan w:val="2"/>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联系电话</w:t>
            </w:r>
          </w:p>
        </w:tc>
        <w:tc>
          <w:tcPr>
            <w:tcW w:w="2323" w:type="dxa"/>
            <w:gridSpan w:val="2"/>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245" w:type="dxa"/>
            <w:tcBorders>
              <w:top w:val="single" w:color="000000" w:sz="4" w:space="0"/>
              <w:left w:val="single" w:color="000000" w:sz="4" w:space="0"/>
              <w:bottom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单位地址</w:t>
            </w:r>
          </w:p>
        </w:tc>
        <w:tc>
          <w:tcPr>
            <w:tcW w:w="5009" w:type="dxa"/>
            <w:gridSpan w:val="9"/>
            <w:tcBorders>
              <w:top w:val="single" w:color="000000" w:sz="4" w:space="0"/>
              <w:left w:val="single" w:color="000000" w:sz="4" w:space="0"/>
              <w:bottom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p>
        </w:tc>
        <w:tc>
          <w:tcPr>
            <w:tcW w:w="1385"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手机号码</w:t>
            </w:r>
          </w:p>
        </w:tc>
        <w:tc>
          <w:tcPr>
            <w:tcW w:w="2323"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 w:hRule="atLeast"/>
        </w:trPr>
        <w:tc>
          <w:tcPr>
            <w:tcW w:w="9962" w:type="dxa"/>
            <w:gridSpan w:val="14"/>
            <w:tcBorders>
              <w:top w:val="single" w:color="000000" w:sz="4" w:space="0"/>
              <w:left w:val="single" w:color="000000" w:sz="4" w:space="0"/>
              <w:bottom w:val="single" w:color="000000" w:sz="4" w:space="0"/>
              <w:right w:val="single" w:color="000000" w:sz="4" w:space="0"/>
            </w:tcBorders>
            <w:shd w:val="clear" w:color="auto" w:fill="3399FF"/>
          </w:tcPr>
          <w:p>
            <w:pPr>
              <w:widowControl/>
              <w:jc w:val="center"/>
              <w:rPr>
                <w:rFonts w:cs="宋体" w:asciiTheme="minorEastAsia" w:hAnsiTheme="minorEastAsia" w:eastAsiaTheme="minorEastAsia"/>
                <w:b/>
                <w:color w:val="000000"/>
                <w:kern w:val="0"/>
                <w:sz w:val="22"/>
                <w:highlight w:val="cyan"/>
              </w:rPr>
            </w:pPr>
            <w:r>
              <w:rPr>
                <w:rFonts w:hint="eastAsia" w:cs="宋体" w:asciiTheme="minorEastAsia" w:hAnsiTheme="minorEastAsia" w:eastAsiaTheme="minorEastAsia"/>
                <w:b/>
                <w:color w:val="000000"/>
                <w:kern w:val="0"/>
                <w:sz w:val="22"/>
              </w:rPr>
              <w:t>单位投资者填写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 w:hRule="atLeast"/>
        </w:trPr>
        <w:tc>
          <w:tcPr>
            <w:tcW w:w="2120"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单位名称</w:t>
            </w:r>
          </w:p>
        </w:tc>
        <w:tc>
          <w:tcPr>
            <w:tcW w:w="2889" w:type="dxa"/>
            <w:gridSpan w:val="5"/>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2612"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证件种类</w:t>
            </w:r>
          </w:p>
        </w:tc>
        <w:tc>
          <w:tcPr>
            <w:tcW w:w="2341"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 w:hRule="atLeast"/>
        </w:trPr>
        <w:tc>
          <w:tcPr>
            <w:tcW w:w="2120"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注册地址</w:t>
            </w:r>
          </w:p>
        </w:tc>
        <w:tc>
          <w:tcPr>
            <w:tcW w:w="2889" w:type="dxa"/>
            <w:gridSpan w:val="5"/>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2612"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证件号码</w:t>
            </w:r>
          </w:p>
        </w:tc>
        <w:tc>
          <w:tcPr>
            <w:tcW w:w="2341"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 w:hRule="atLeast"/>
        </w:trPr>
        <w:tc>
          <w:tcPr>
            <w:tcW w:w="2120"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通讯地址</w:t>
            </w:r>
          </w:p>
        </w:tc>
        <w:tc>
          <w:tcPr>
            <w:tcW w:w="2889" w:type="dxa"/>
            <w:gridSpan w:val="5"/>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2612"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证件有效期</w:t>
            </w:r>
          </w:p>
        </w:tc>
        <w:tc>
          <w:tcPr>
            <w:tcW w:w="2341"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 w:hRule="atLeast"/>
        </w:trPr>
        <w:tc>
          <w:tcPr>
            <w:tcW w:w="2120"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经办人姓名</w:t>
            </w:r>
          </w:p>
        </w:tc>
        <w:tc>
          <w:tcPr>
            <w:tcW w:w="2889" w:type="dxa"/>
            <w:gridSpan w:val="5"/>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2612"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法定代表人姓名</w:t>
            </w:r>
          </w:p>
        </w:tc>
        <w:tc>
          <w:tcPr>
            <w:tcW w:w="2341"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 w:hRule="atLeast"/>
        </w:trPr>
        <w:tc>
          <w:tcPr>
            <w:tcW w:w="2120"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经办人证件种类</w:t>
            </w:r>
          </w:p>
        </w:tc>
        <w:tc>
          <w:tcPr>
            <w:tcW w:w="2889" w:type="dxa"/>
            <w:gridSpan w:val="5"/>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2612"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法定代表人证件种类</w:t>
            </w:r>
          </w:p>
        </w:tc>
        <w:tc>
          <w:tcPr>
            <w:tcW w:w="2341"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 w:hRule="atLeast"/>
        </w:trPr>
        <w:tc>
          <w:tcPr>
            <w:tcW w:w="2120"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经办人证件号码</w:t>
            </w:r>
          </w:p>
        </w:tc>
        <w:tc>
          <w:tcPr>
            <w:tcW w:w="2889" w:type="dxa"/>
            <w:gridSpan w:val="5"/>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2612"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法定代表人证件号码</w:t>
            </w:r>
          </w:p>
        </w:tc>
        <w:tc>
          <w:tcPr>
            <w:tcW w:w="2341"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 w:hRule="atLeast"/>
        </w:trPr>
        <w:tc>
          <w:tcPr>
            <w:tcW w:w="2120"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经办人证件有效期</w:t>
            </w:r>
          </w:p>
        </w:tc>
        <w:tc>
          <w:tcPr>
            <w:tcW w:w="2889" w:type="dxa"/>
            <w:gridSpan w:val="5"/>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2612"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法定代表人证件有效期</w:t>
            </w:r>
          </w:p>
        </w:tc>
        <w:tc>
          <w:tcPr>
            <w:tcW w:w="2341"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 w:hRule="atLeast"/>
        </w:trPr>
        <w:tc>
          <w:tcPr>
            <w:tcW w:w="2120"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联系电话</w:t>
            </w:r>
          </w:p>
        </w:tc>
        <w:tc>
          <w:tcPr>
            <w:tcW w:w="2889" w:type="dxa"/>
            <w:gridSpan w:val="5"/>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2612"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联系电话</w:t>
            </w:r>
          </w:p>
        </w:tc>
        <w:tc>
          <w:tcPr>
            <w:tcW w:w="2341"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9962" w:type="dxa"/>
            <w:gridSpan w:val="14"/>
            <w:shd w:val="clear" w:color="auto" w:fill="3399FF"/>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乙方基本信息（银行基本信息）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1245" w:type="dxa"/>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乙    方</w:t>
            </w:r>
          </w:p>
        </w:tc>
        <w:tc>
          <w:tcPr>
            <w:tcW w:w="8717" w:type="dxa"/>
            <w:gridSpan w:val="13"/>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新疆银行股份有限公司</w:t>
            </w:r>
            <w:r>
              <w:rPr>
                <w:rFonts w:hint="eastAsia" w:cs="宋体" w:asciiTheme="minorEastAsia" w:hAnsiTheme="minorEastAsia" w:eastAsiaTheme="minorEastAsia"/>
                <w:color w:val="000000"/>
                <w:kern w:val="0"/>
                <w:sz w:val="22"/>
                <w:u w:val="singl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1245" w:type="dxa"/>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联系地址</w:t>
            </w:r>
          </w:p>
        </w:tc>
        <w:tc>
          <w:tcPr>
            <w:tcW w:w="3545" w:type="dxa"/>
            <w:gridSpan w:val="5"/>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1418" w:type="dxa"/>
            <w:gridSpan w:val="3"/>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邮政编码</w:t>
            </w:r>
          </w:p>
        </w:tc>
        <w:tc>
          <w:tcPr>
            <w:tcW w:w="3754" w:type="dxa"/>
            <w:gridSpan w:val="5"/>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1245" w:type="dxa"/>
            <w:tcBorders>
              <w:bottom w:val="single" w:color="000000" w:sz="4" w:space="0"/>
            </w:tcBorders>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联系电话</w:t>
            </w:r>
          </w:p>
        </w:tc>
        <w:tc>
          <w:tcPr>
            <w:tcW w:w="3545" w:type="dxa"/>
            <w:gridSpan w:val="5"/>
            <w:tcBorders>
              <w:bottom w:val="single" w:color="000000" w:sz="4" w:space="0"/>
            </w:tcBorders>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1418" w:type="dxa"/>
            <w:gridSpan w:val="3"/>
            <w:tcBorders>
              <w:bottom w:val="single" w:color="000000" w:sz="4" w:space="0"/>
            </w:tcBorders>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3754" w:type="dxa"/>
            <w:gridSpan w:val="5"/>
            <w:tcBorders>
              <w:bottom w:val="single" w:color="000000" w:sz="4" w:space="0"/>
            </w:tcBorders>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9962" w:type="dxa"/>
            <w:gridSpan w:val="14"/>
            <w:shd w:val="clear" w:color="auto" w:fill="3399FF"/>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业务基本信息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1245" w:type="dxa"/>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业    务</w:t>
            </w:r>
          </w:p>
        </w:tc>
        <w:tc>
          <w:tcPr>
            <w:tcW w:w="8717" w:type="dxa"/>
            <w:gridSpan w:val="13"/>
          </w:tcPr>
          <w:p>
            <w:pPr>
              <w:widowControl/>
              <w:jc w:val="center"/>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□购买        □赎回        □撤单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1245" w:type="dxa"/>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产品名称</w:t>
            </w:r>
          </w:p>
        </w:tc>
        <w:tc>
          <w:tcPr>
            <w:tcW w:w="2691" w:type="dxa"/>
            <w:gridSpan w:val="4"/>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1559" w:type="dxa"/>
            <w:gridSpan w:val="3"/>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产品代码</w:t>
            </w:r>
          </w:p>
        </w:tc>
        <w:tc>
          <w:tcPr>
            <w:tcW w:w="4467" w:type="dxa"/>
            <w:gridSpan w:val="6"/>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1245" w:type="dxa"/>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交易币种</w:t>
            </w:r>
          </w:p>
        </w:tc>
        <w:tc>
          <w:tcPr>
            <w:tcW w:w="2691" w:type="dxa"/>
            <w:gridSpan w:val="4"/>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1559" w:type="dxa"/>
            <w:gridSpan w:val="3"/>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交易金额</w:t>
            </w:r>
          </w:p>
        </w:tc>
        <w:tc>
          <w:tcPr>
            <w:tcW w:w="4467" w:type="dxa"/>
            <w:gridSpan w:val="6"/>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xml:space="preserve">　       大写：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5" w:type="dxa"/>
            <w:tcBorders>
              <w:bottom w:val="single" w:color="000000" w:sz="4" w:space="0"/>
            </w:tcBorders>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卡/账号</w:t>
            </w:r>
          </w:p>
        </w:tc>
        <w:tc>
          <w:tcPr>
            <w:tcW w:w="2691" w:type="dxa"/>
            <w:gridSpan w:val="4"/>
            <w:tcBorders>
              <w:bottom w:val="single" w:color="000000" w:sz="4" w:space="0"/>
            </w:tcBorders>
          </w:tcPr>
          <w:p>
            <w:pPr>
              <w:widowControl/>
              <w:jc w:val="left"/>
              <w:rPr>
                <w:rFonts w:cs="宋体" w:asciiTheme="minorEastAsia" w:hAnsiTheme="minorEastAsia" w:eastAsiaTheme="minorEastAsia"/>
                <w:color w:val="000000"/>
                <w:kern w:val="0"/>
                <w:sz w:val="22"/>
              </w:rPr>
            </w:pPr>
          </w:p>
        </w:tc>
        <w:tc>
          <w:tcPr>
            <w:tcW w:w="1559" w:type="dxa"/>
            <w:gridSpan w:val="3"/>
            <w:tcBorders>
              <w:bottom w:val="single" w:color="000000" w:sz="4" w:space="0"/>
            </w:tcBorders>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交易份额</w:t>
            </w:r>
          </w:p>
        </w:tc>
        <w:tc>
          <w:tcPr>
            <w:tcW w:w="4467" w:type="dxa"/>
            <w:gridSpan w:val="6"/>
            <w:tcBorders>
              <w:bottom w:val="single" w:color="000000" w:sz="4" w:space="0"/>
            </w:tcBorders>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xml:space="preserve">         大写：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62" w:type="dxa"/>
            <w:gridSpan w:val="14"/>
            <w:tcBorders>
              <w:bottom w:val="single" w:color="000000" w:sz="4" w:space="0"/>
            </w:tcBorders>
          </w:tcPr>
          <w:p>
            <w:pPr>
              <w:widowControl/>
              <w:tabs>
                <w:tab w:val="left" w:pos="8070"/>
                <w:tab w:val="right" w:pos="8306"/>
              </w:tabs>
              <w:adjustRightInd w:val="0"/>
              <w:snapToGrid w:val="0"/>
              <w:spacing w:line="360" w:lineRule="auto"/>
              <w:jc w:val="left"/>
              <w:rPr>
                <w:rFonts w:cs="宋体" w:asciiTheme="minorEastAsia" w:hAnsiTheme="minorEastAsia" w:eastAsiaTheme="minorEastAsia"/>
                <w:bCs/>
                <w:kern w:val="0"/>
                <w:szCs w:val="21"/>
              </w:rPr>
            </w:pPr>
            <w:r>
              <w:rPr>
                <w:rFonts w:hint="eastAsia" w:cs="宋体" w:asciiTheme="minorEastAsia" w:hAnsiTheme="minorEastAsia" w:eastAsiaTheme="minorEastAsia"/>
                <w:bCs/>
                <w:kern w:val="0"/>
                <w:szCs w:val="21"/>
              </w:rPr>
              <w:t xml:space="preserve">    新疆银</w:t>
            </w:r>
            <w:r>
              <w:rPr>
                <w:rFonts w:hint="eastAsia" w:asciiTheme="minorEastAsia" w:hAnsiTheme="minorEastAsia" w:eastAsiaTheme="minorEastAsia"/>
                <w:szCs w:val="21"/>
              </w:rPr>
              <w:t>“金胡杨”净值型</w:t>
            </w:r>
            <w:r>
              <w:rPr>
                <w:rFonts w:hint="eastAsia" w:cs="宋体" w:asciiTheme="minorEastAsia" w:hAnsiTheme="minorEastAsia" w:eastAsiaTheme="minorEastAsia"/>
                <w:bCs/>
                <w:kern w:val="0"/>
                <w:szCs w:val="21"/>
              </w:rPr>
              <w:t>人民币理财产品理财合同由《风险揭示书》、《产品说明书》、《客户权益须知》、本协议书及客户签署的相关业务凭证共同组成。</w:t>
            </w:r>
          </w:p>
          <w:p>
            <w:pPr>
              <w:widowControl/>
              <w:tabs>
                <w:tab w:val="left" w:pos="8070"/>
                <w:tab w:val="right" w:pos="8306"/>
              </w:tabs>
              <w:adjustRightInd w:val="0"/>
              <w:snapToGrid w:val="0"/>
              <w:spacing w:line="360" w:lineRule="auto"/>
              <w:ind w:firstLine="420" w:firstLineChars="200"/>
              <w:jc w:val="left"/>
              <w:rPr>
                <w:rFonts w:cs="宋体" w:asciiTheme="minorEastAsia" w:hAnsiTheme="minorEastAsia" w:eastAsiaTheme="minorEastAsia"/>
                <w:bCs/>
                <w:kern w:val="0"/>
                <w:szCs w:val="21"/>
              </w:rPr>
            </w:pPr>
            <w:r>
              <w:rPr>
                <w:rFonts w:hint="eastAsia" w:cs="宋体" w:asciiTheme="minorEastAsia" w:hAnsiTheme="minorEastAsia" w:eastAsiaTheme="minorEastAsia"/>
                <w:bCs/>
                <w:kern w:val="0"/>
                <w:szCs w:val="21"/>
              </w:rPr>
              <w:t>理财产品的具体风险和要素详见《风险揭示书》、《产品说明书》和《客户权益须知》等相关文件，上述文件为本协议不可分割的组成部分。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62" w:type="dxa"/>
            <w:gridSpan w:val="14"/>
            <w:shd w:val="clear" w:color="auto" w:fill="3399FF"/>
            <w:vAlign w:val="center"/>
          </w:tcPr>
          <w:p>
            <w:pPr>
              <w:widowControl/>
              <w:tabs>
                <w:tab w:val="left" w:pos="8070"/>
                <w:tab w:val="right" w:pos="8306"/>
              </w:tabs>
              <w:adjustRightInd w:val="0"/>
              <w:snapToGrid w:val="0"/>
              <w:spacing w:line="360" w:lineRule="auto"/>
              <w:jc w:val="center"/>
              <w:rPr>
                <w:rFonts w:cs="宋体" w:asciiTheme="minorEastAsia" w:hAnsiTheme="minorEastAsia" w:eastAsiaTheme="minorEastAsia"/>
                <w:b/>
                <w:bCs/>
                <w:kern w:val="0"/>
                <w:szCs w:val="21"/>
              </w:rPr>
            </w:pPr>
            <w:r>
              <w:rPr>
                <w:rStyle w:val="9"/>
                <w:rFonts w:hint="eastAsia" w:cs="宋体" w:asciiTheme="minorEastAsia" w:hAnsiTheme="minorEastAsia" w:eastAsiaTheme="minorEastAsia"/>
                <w:kern w:val="0"/>
                <w:szCs w:val="21"/>
              </w:rPr>
              <w:t>二、甲方申明与保证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62" w:type="dxa"/>
            <w:gridSpan w:val="14"/>
            <w:tcBorders>
              <w:bottom w:val="single" w:color="000000" w:sz="4" w:space="0"/>
            </w:tcBorders>
          </w:tcPr>
          <w:p>
            <w:pPr>
              <w:widowControl/>
              <w:tabs>
                <w:tab w:val="left" w:pos="0"/>
              </w:tabs>
              <w:adjustRightInd w:val="0"/>
              <w:snapToGrid w:val="0"/>
              <w:spacing w:line="360" w:lineRule="auto"/>
              <w:ind w:firstLine="360"/>
              <w:jc w:val="left"/>
              <w:rPr>
                <w:rFonts w:cs="宋体" w:asciiTheme="minorEastAsia" w:hAnsiTheme="minorEastAsia" w:eastAsiaTheme="minorEastAsia"/>
                <w:b/>
                <w:bCs/>
                <w:kern w:val="0"/>
                <w:szCs w:val="21"/>
              </w:rPr>
            </w:pPr>
            <w:r>
              <w:rPr>
                <w:rFonts w:hint="eastAsia" w:cs="宋体" w:asciiTheme="minorEastAsia" w:hAnsiTheme="minorEastAsia" w:eastAsiaTheme="minorEastAsia"/>
                <w:b/>
                <w:bCs/>
                <w:kern w:val="0"/>
                <w:szCs w:val="21"/>
              </w:rPr>
              <w:t>（一）个人投资者申明与保证：</w:t>
            </w:r>
          </w:p>
          <w:p>
            <w:pPr>
              <w:widowControl/>
              <w:tabs>
                <w:tab w:val="left" w:pos="0"/>
              </w:tabs>
              <w:adjustRightInd w:val="0"/>
              <w:snapToGrid w:val="0"/>
              <w:spacing w:line="360" w:lineRule="auto"/>
              <w:ind w:firstLine="360"/>
              <w:jc w:val="left"/>
              <w:rPr>
                <w:rFonts w:cs="宋体" w:asciiTheme="minorEastAsia" w:hAnsiTheme="minorEastAsia" w:eastAsiaTheme="minorEastAsia"/>
                <w:bCs/>
                <w:kern w:val="0"/>
                <w:szCs w:val="21"/>
              </w:rPr>
            </w:pPr>
            <w:r>
              <w:rPr>
                <w:rFonts w:cs="宋体" w:asciiTheme="minorEastAsia" w:hAnsiTheme="minorEastAsia" w:eastAsiaTheme="minorEastAsia"/>
                <w:bCs/>
                <w:kern w:val="0"/>
                <w:szCs w:val="21"/>
              </w:rPr>
              <w:t>1.</w:t>
            </w:r>
            <w:r>
              <w:rPr>
                <w:rFonts w:hint="eastAsia" w:cs="宋体" w:asciiTheme="minorEastAsia" w:hAnsiTheme="minorEastAsia" w:eastAsiaTheme="minorEastAsia"/>
                <w:bCs/>
                <w:kern w:val="0"/>
                <w:szCs w:val="21"/>
              </w:rPr>
              <w:t>甲方具有完全民事行为能力，以本人合法所有的资金购买理财产品；</w:t>
            </w:r>
          </w:p>
          <w:p>
            <w:pPr>
              <w:widowControl/>
              <w:tabs>
                <w:tab w:val="left" w:pos="0"/>
              </w:tabs>
              <w:adjustRightInd w:val="0"/>
              <w:snapToGrid w:val="0"/>
              <w:spacing w:line="360" w:lineRule="auto"/>
              <w:ind w:firstLine="360"/>
              <w:jc w:val="left"/>
              <w:rPr>
                <w:rFonts w:cs="宋体" w:asciiTheme="minorEastAsia" w:hAnsiTheme="minorEastAsia" w:eastAsiaTheme="minorEastAsia"/>
                <w:bCs/>
                <w:kern w:val="0"/>
                <w:szCs w:val="21"/>
              </w:rPr>
            </w:pPr>
            <w:r>
              <w:rPr>
                <w:rFonts w:hint="eastAsia" w:cs="宋体" w:asciiTheme="minorEastAsia" w:hAnsiTheme="minorEastAsia" w:eastAsiaTheme="minorEastAsia"/>
                <w:bCs/>
                <w:kern w:val="0"/>
                <w:szCs w:val="21"/>
              </w:rPr>
              <w:t>2.甲方为港、澳、台人士或外籍人士的，其购买理财产品的资质及资金符合相关法律法规及监管的要求；</w:t>
            </w:r>
          </w:p>
          <w:p>
            <w:pPr>
              <w:widowControl/>
              <w:tabs>
                <w:tab w:val="left" w:pos="0"/>
              </w:tabs>
              <w:adjustRightInd w:val="0"/>
              <w:snapToGrid w:val="0"/>
              <w:spacing w:line="360" w:lineRule="auto"/>
              <w:ind w:firstLine="360"/>
              <w:jc w:val="left"/>
              <w:rPr>
                <w:rFonts w:cs="宋体" w:asciiTheme="minorEastAsia" w:hAnsiTheme="minorEastAsia" w:eastAsiaTheme="minorEastAsia"/>
                <w:bCs/>
                <w:kern w:val="0"/>
                <w:szCs w:val="21"/>
              </w:rPr>
            </w:pPr>
            <w:r>
              <w:rPr>
                <w:rFonts w:hint="eastAsia" w:cs="宋体" w:asciiTheme="minorEastAsia" w:hAnsiTheme="minorEastAsia" w:eastAsiaTheme="minorEastAsia"/>
                <w:bCs/>
                <w:kern w:val="0"/>
                <w:szCs w:val="21"/>
              </w:rPr>
              <w:t>3.甲方已如实向乙方披露其风险承受能力状况及相关信息，并签署、确认《风险评估问卷》、《风险揭示书》；如发生可能影响其风险承受能力的情况，甲方应及时进行风险承受能力再评估；</w:t>
            </w:r>
          </w:p>
          <w:p>
            <w:pPr>
              <w:widowControl/>
              <w:tabs>
                <w:tab w:val="left" w:pos="0"/>
              </w:tabs>
              <w:adjustRightInd w:val="0"/>
              <w:snapToGrid w:val="0"/>
              <w:spacing w:line="360" w:lineRule="auto"/>
              <w:ind w:firstLine="360"/>
              <w:jc w:val="left"/>
              <w:rPr>
                <w:rFonts w:cs="宋体" w:asciiTheme="minorEastAsia" w:hAnsiTheme="minorEastAsia" w:eastAsiaTheme="minorEastAsia"/>
                <w:bCs/>
                <w:kern w:val="0"/>
                <w:szCs w:val="21"/>
              </w:rPr>
            </w:pPr>
            <w:r>
              <w:rPr>
                <w:rFonts w:hint="eastAsia" w:cs="宋体" w:asciiTheme="minorEastAsia" w:hAnsiTheme="minorEastAsia" w:eastAsiaTheme="minorEastAsia"/>
                <w:bCs/>
                <w:kern w:val="0"/>
                <w:szCs w:val="21"/>
              </w:rPr>
              <w:t>4.甲方清楚知晓、接受并承诺遵守理财产品合同，对其条款内容不存在任何疑问或异议，清楚了解所购买理财产品的收益类型、适用客户类别、主要风险、投资方向、流动性等内容，完全知晓理财产品可能出现的各种风险，愿意并能够承担这些风险；</w:t>
            </w:r>
          </w:p>
          <w:p>
            <w:pPr>
              <w:widowControl/>
              <w:tabs>
                <w:tab w:val="left" w:pos="0"/>
              </w:tabs>
              <w:adjustRightInd w:val="0"/>
              <w:snapToGrid w:val="0"/>
              <w:spacing w:line="360" w:lineRule="auto"/>
              <w:ind w:firstLine="360"/>
              <w:jc w:val="left"/>
              <w:rPr>
                <w:rFonts w:cs="宋体" w:asciiTheme="minorEastAsia" w:hAnsiTheme="minorEastAsia" w:eastAsiaTheme="minorEastAsia"/>
                <w:bCs/>
                <w:kern w:val="0"/>
                <w:szCs w:val="21"/>
              </w:rPr>
            </w:pPr>
            <w:r>
              <w:rPr>
                <w:rFonts w:hint="eastAsia" w:cs="宋体" w:asciiTheme="minorEastAsia" w:hAnsiTheme="minorEastAsia" w:eastAsiaTheme="minorEastAsia"/>
                <w:bCs/>
                <w:kern w:val="0"/>
                <w:szCs w:val="21"/>
              </w:rPr>
              <w:t>5.乙方向甲方提供的产品分析及预测仅供参考，甲方据此做出的任何决策出于甲方自己的判断，投资决策风险由甲方自行承担。</w:t>
            </w:r>
          </w:p>
          <w:p>
            <w:pPr>
              <w:widowControl/>
              <w:tabs>
                <w:tab w:val="left" w:pos="0"/>
              </w:tabs>
              <w:adjustRightInd w:val="0"/>
              <w:snapToGrid w:val="0"/>
              <w:spacing w:line="360" w:lineRule="auto"/>
              <w:ind w:firstLine="360"/>
              <w:jc w:val="left"/>
              <w:rPr>
                <w:rFonts w:cs="宋体" w:asciiTheme="minorEastAsia" w:hAnsiTheme="minorEastAsia" w:eastAsiaTheme="minorEastAsia"/>
                <w:b/>
                <w:bCs/>
                <w:kern w:val="0"/>
                <w:szCs w:val="21"/>
              </w:rPr>
            </w:pPr>
            <w:r>
              <w:rPr>
                <w:rFonts w:hint="eastAsia" w:cs="宋体" w:asciiTheme="minorEastAsia" w:hAnsiTheme="minorEastAsia" w:eastAsiaTheme="minorEastAsia"/>
                <w:b/>
                <w:bCs/>
                <w:kern w:val="0"/>
                <w:szCs w:val="21"/>
              </w:rPr>
              <w:t>（二）机构投资者申明与保证</w:t>
            </w:r>
          </w:p>
          <w:p>
            <w:pPr>
              <w:widowControl/>
              <w:tabs>
                <w:tab w:val="left" w:pos="0"/>
              </w:tabs>
              <w:adjustRightInd w:val="0"/>
              <w:snapToGrid w:val="0"/>
              <w:spacing w:line="360" w:lineRule="auto"/>
              <w:ind w:firstLine="360"/>
              <w:jc w:val="left"/>
              <w:rPr>
                <w:rFonts w:cs="宋体" w:asciiTheme="minorEastAsia" w:hAnsiTheme="minorEastAsia" w:eastAsiaTheme="minorEastAsia"/>
                <w:bCs/>
                <w:kern w:val="0"/>
                <w:szCs w:val="21"/>
              </w:rPr>
            </w:pPr>
            <w:r>
              <w:rPr>
                <w:rFonts w:hint="eastAsia" w:cs="宋体" w:asciiTheme="minorEastAsia" w:hAnsiTheme="minorEastAsia" w:eastAsiaTheme="minorEastAsia"/>
                <w:bCs/>
                <w:kern w:val="0"/>
                <w:szCs w:val="21"/>
              </w:rPr>
              <w:t>1.甲方为依法设立的企业法人、事业法人、社会团体或其他组织，依据相应法律法规有投资理财产品的资格；</w:t>
            </w:r>
          </w:p>
          <w:p>
            <w:pPr>
              <w:widowControl/>
              <w:tabs>
                <w:tab w:val="left" w:pos="0"/>
              </w:tabs>
              <w:adjustRightInd w:val="0"/>
              <w:snapToGrid w:val="0"/>
              <w:spacing w:line="360" w:lineRule="auto"/>
              <w:ind w:firstLine="360"/>
              <w:jc w:val="left"/>
              <w:rPr>
                <w:rFonts w:cs="宋体" w:asciiTheme="minorEastAsia" w:hAnsiTheme="minorEastAsia" w:eastAsiaTheme="minorEastAsia"/>
                <w:bCs/>
                <w:kern w:val="0"/>
                <w:szCs w:val="21"/>
              </w:rPr>
            </w:pPr>
            <w:r>
              <w:rPr>
                <w:rFonts w:hint="eastAsia" w:cs="宋体" w:asciiTheme="minorEastAsia" w:hAnsiTheme="minorEastAsia" w:eastAsiaTheme="minorEastAsia"/>
                <w:bCs/>
                <w:kern w:val="0"/>
                <w:szCs w:val="21"/>
              </w:rPr>
              <w:t>2.签署和履行本协议系甲方的真实意思表示，已经按照其章程或其他内部管理文件的要求取得合法、有效的授权，且不会违反对甲方有约束力的任何协议、合同和其他法律文件；甲方已经或将会取得签订和履行本协议所需的一切有关批准、许可、备案或登记；</w:t>
            </w:r>
          </w:p>
          <w:p>
            <w:pPr>
              <w:widowControl/>
              <w:tabs>
                <w:tab w:val="left" w:pos="0"/>
              </w:tabs>
              <w:adjustRightInd w:val="0"/>
              <w:snapToGrid w:val="0"/>
              <w:spacing w:line="360" w:lineRule="auto"/>
              <w:ind w:firstLine="360"/>
              <w:jc w:val="left"/>
              <w:rPr>
                <w:rFonts w:cs="宋体" w:asciiTheme="minorEastAsia" w:hAnsiTheme="minorEastAsia" w:eastAsiaTheme="minorEastAsia"/>
                <w:bCs/>
                <w:kern w:val="0"/>
                <w:szCs w:val="21"/>
              </w:rPr>
            </w:pPr>
            <w:r>
              <w:rPr>
                <w:rFonts w:hint="eastAsia" w:cs="宋体" w:asciiTheme="minorEastAsia" w:hAnsiTheme="minorEastAsia" w:eastAsiaTheme="minorEastAsia"/>
                <w:bCs/>
                <w:kern w:val="0"/>
                <w:szCs w:val="21"/>
              </w:rPr>
              <w:t>3.甲方用于购买理财产品的资金为其合法所有并具有完全的占有、使用、收益、处分权，该资金可合法投资于理财产品而不存在任何禁止或限制的情形；</w:t>
            </w:r>
          </w:p>
          <w:p>
            <w:pPr>
              <w:widowControl/>
              <w:tabs>
                <w:tab w:val="left" w:pos="0"/>
              </w:tabs>
              <w:adjustRightInd w:val="0"/>
              <w:snapToGrid w:val="0"/>
              <w:spacing w:line="360" w:lineRule="auto"/>
              <w:ind w:firstLine="360"/>
              <w:jc w:val="left"/>
              <w:rPr>
                <w:rFonts w:cs="宋体" w:asciiTheme="minorEastAsia" w:hAnsiTheme="minorEastAsia" w:eastAsiaTheme="minorEastAsia"/>
                <w:bCs/>
                <w:kern w:val="0"/>
                <w:szCs w:val="21"/>
              </w:rPr>
            </w:pPr>
            <w:r>
              <w:rPr>
                <w:rFonts w:hint="eastAsia" w:cs="宋体" w:asciiTheme="minorEastAsia" w:hAnsiTheme="minorEastAsia" w:eastAsiaTheme="minorEastAsia"/>
                <w:bCs/>
                <w:kern w:val="0"/>
                <w:szCs w:val="21"/>
              </w:rPr>
              <w:t>4.甲方已如实、完整地向乙方披露其风险承受能力及相关信息；</w:t>
            </w:r>
          </w:p>
          <w:p>
            <w:pPr>
              <w:widowControl/>
              <w:tabs>
                <w:tab w:val="left" w:pos="0"/>
              </w:tabs>
              <w:adjustRightInd w:val="0"/>
              <w:snapToGrid w:val="0"/>
              <w:spacing w:line="360" w:lineRule="auto"/>
              <w:ind w:firstLine="360"/>
              <w:jc w:val="left"/>
              <w:rPr>
                <w:rFonts w:cs="宋体" w:asciiTheme="minorEastAsia" w:hAnsiTheme="minorEastAsia" w:eastAsiaTheme="minorEastAsia"/>
                <w:bCs/>
                <w:kern w:val="0"/>
                <w:szCs w:val="21"/>
              </w:rPr>
            </w:pPr>
            <w:r>
              <w:rPr>
                <w:rFonts w:hint="eastAsia" w:cs="宋体" w:asciiTheme="minorEastAsia" w:hAnsiTheme="minorEastAsia" w:eastAsiaTheme="minorEastAsia"/>
                <w:bCs/>
                <w:kern w:val="0"/>
                <w:szCs w:val="21"/>
              </w:rPr>
              <w:t>5.甲方授权代理人已得到签署理财产品合同的充分有效授权。甲方的法定代表人或授权代理人具有完全的民事行为能力并已详细阅读本协议、《风险揭示书》、《产品说明书》、《权益须知》等理财合同文本，清楚知晓、接受并承诺遵守理财产品合同，对其条款内容不存在任何疑问或异议，清楚了解所购买理财产品的收益类型、适用客户类别、主要风险、投资方向、流动性等内容，完全知晓理财产品可能出现的各种风险，愿意并能够承担这些风险；</w:t>
            </w:r>
          </w:p>
          <w:p>
            <w:pPr>
              <w:widowControl/>
              <w:tabs>
                <w:tab w:val="left" w:pos="0"/>
              </w:tabs>
              <w:adjustRightInd w:val="0"/>
              <w:snapToGrid w:val="0"/>
              <w:spacing w:line="360" w:lineRule="auto"/>
              <w:ind w:firstLine="360"/>
              <w:jc w:val="left"/>
              <w:rPr>
                <w:rFonts w:cs="宋体" w:asciiTheme="minorEastAsia" w:hAnsiTheme="minorEastAsia" w:eastAsiaTheme="minorEastAsia"/>
                <w:bCs/>
                <w:kern w:val="0"/>
                <w:szCs w:val="21"/>
              </w:rPr>
            </w:pPr>
            <w:r>
              <w:rPr>
                <w:rFonts w:hint="eastAsia" w:cs="宋体" w:asciiTheme="minorEastAsia" w:hAnsiTheme="minorEastAsia" w:eastAsiaTheme="minorEastAsia"/>
                <w:bCs/>
                <w:kern w:val="0"/>
                <w:szCs w:val="21"/>
              </w:rPr>
              <w:t>6.乙方向甲方提供的产品分析及预测仅供参考，甲方据此做出的任何决策出于甲方自己的判断，投资决策风险由甲方自行承担。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62" w:type="dxa"/>
            <w:gridSpan w:val="14"/>
            <w:shd w:val="clear" w:color="auto" w:fill="3399FF"/>
          </w:tcPr>
          <w:p>
            <w:pPr>
              <w:widowControl/>
              <w:tabs>
                <w:tab w:val="left" w:pos="8070"/>
                <w:tab w:val="right" w:pos="8306"/>
              </w:tabs>
              <w:adjustRightInd w:val="0"/>
              <w:snapToGrid w:val="0"/>
              <w:spacing w:line="360" w:lineRule="auto"/>
              <w:jc w:val="center"/>
              <w:rPr>
                <w:rFonts w:cs="宋体" w:asciiTheme="minorEastAsia" w:hAnsiTheme="minorEastAsia" w:eastAsiaTheme="minorEastAsia"/>
                <w:b/>
                <w:bCs/>
                <w:kern w:val="0"/>
                <w:szCs w:val="21"/>
              </w:rPr>
            </w:pPr>
            <w:r>
              <w:rPr>
                <w:rStyle w:val="9"/>
                <w:rFonts w:hint="eastAsia" w:cs="宋体" w:asciiTheme="minorEastAsia" w:hAnsiTheme="minorEastAsia" w:eastAsiaTheme="minorEastAsia"/>
                <w:kern w:val="0"/>
                <w:szCs w:val="21"/>
              </w:rPr>
              <w:t>三、风险提示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62" w:type="dxa"/>
            <w:gridSpan w:val="14"/>
            <w:tcBorders>
              <w:bottom w:val="single" w:color="000000" w:sz="4" w:space="0"/>
            </w:tcBorders>
          </w:tcPr>
          <w:p>
            <w:pPr>
              <w:widowControl/>
              <w:tabs>
                <w:tab w:val="left" w:pos="8070"/>
                <w:tab w:val="right" w:pos="8306"/>
              </w:tabs>
              <w:adjustRightInd w:val="0"/>
              <w:snapToGrid w:val="0"/>
              <w:spacing w:line="360" w:lineRule="auto"/>
              <w:ind w:firstLine="405"/>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乙方销售的理财产品与存款存在明显区别，投资理财产品可能面临政策风险、市场风险、信用风险、流动性风险等，具体详见《风险揭示书》。甲方在购买理财产品前，应仔细阅读并充分理解该理财产品的详细条款及可能发生的风险。</w:t>
            </w:r>
          </w:p>
          <w:p>
            <w:pPr>
              <w:widowControl/>
              <w:tabs>
                <w:tab w:val="left" w:pos="8070"/>
                <w:tab w:val="right" w:pos="8306"/>
              </w:tabs>
              <w:adjustRightInd w:val="0"/>
              <w:snapToGrid w:val="0"/>
              <w:spacing w:line="360" w:lineRule="auto"/>
              <w:ind w:firstLine="405"/>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2.非保本浮动收益净值型理财产品：不保证甲方理财资金本金和收益，甲方可能会蒙受不同程度的损失（包括不同程度本金损失），甲方应充分认识投资风险，谨慎投资。</w:t>
            </w:r>
          </w:p>
          <w:p>
            <w:pPr>
              <w:widowControl/>
              <w:tabs>
                <w:tab w:val="left" w:pos="8070"/>
                <w:tab w:val="right" w:pos="8306"/>
              </w:tabs>
              <w:adjustRightInd w:val="0"/>
              <w:snapToGrid w:val="0"/>
              <w:spacing w:line="360" w:lineRule="auto"/>
              <w:ind w:firstLine="405"/>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3.理财产品业绩表现将随市场波动，具有不确定性，业绩比较基准仅供甲方参考，不构成新疆银行对产品实际投资收益率的承诺或担保，客户的实际收益由产品净值决定。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62" w:type="dxa"/>
            <w:gridSpan w:val="14"/>
            <w:shd w:val="clear" w:color="auto" w:fill="3399FF"/>
          </w:tcPr>
          <w:p>
            <w:pPr>
              <w:widowControl/>
              <w:tabs>
                <w:tab w:val="left" w:pos="8070"/>
                <w:tab w:val="right" w:pos="8306"/>
              </w:tabs>
              <w:adjustRightInd w:val="0"/>
              <w:snapToGrid w:val="0"/>
              <w:spacing w:line="360" w:lineRule="auto"/>
              <w:jc w:val="center"/>
              <w:rPr>
                <w:rFonts w:cs="宋体" w:asciiTheme="minorEastAsia" w:hAnsiTheme="minorEastAsia" w:eastAsiaTheme="minorEastAsia"/>
                <w:bCs/>
                <w:kern w:val="0"/>
                <w:szCs w:val="21"/>
              </w:rPr>
            </w:pPr>
            <w:r>
              <w:rPr>
                <w:rStyle w:val="9"/>
                <w:rFonts w:hint="eastAsia" w:cs="宋体" w:asciiTheme="minorEastAsia" w:hAnsiTheme="minorEastAsia" w:eastAsiaTheme="minorEastAsia"/>
                <w:kern w:val="0"/>
                <w:szCs w:val="21"/>
              </w:rPr>
              <w:t>四、双方权利与义务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62" w:type="dxa"/>
            <w:gridSpan w:val="14"/>
            <w:tcBorders>
              <w:bottom w:val="single" w:color="000000" w:sz="4" w:space="0"/>
            </w:tcBorders>
          </w:tcPr>
          <w:p>
            <w:pPr>
              <w:widowControl/>
              <w:adjustRightInd w:val="0"/>
              <w:snapToGrid w:val="0"/>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 xml:space="preserve">    1.甲方有权依照理财产品合同约定获取理财收益，在约定的投资期内，理财资金本金不另计存款利息。</w:t>
            </w:r>
          </w:p>
          <w:p>
            <w:pPr>
              <w:widowControl/>
              <w:adjustRightInd w:val="0"/>
              <w:snapToGrid w:val="0"/>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 xml:space="preserve">    2.甲方有权充分了解理财产品合同的条款以及可能发生的风险，充分了解理财产品的管理、运用、处分及收支情况，并有权要求乙方按照有关程序做出说明。</w:t>
            </w:r>
          </w:p>
          <w:p>
            <w:pPr>
              <w:widowControl/>
              <w:adjustRightInd w:val="0"/>
              <w:snapToGrid w:val="0"/>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 xml:space="preserve">    3.甲方有义务保证理财资金的来源合法，购买理财产品的行为符合法律法规、监管规定及国家政策。</w:t>
            </w:r>
          </w:p>
          <w:p>
            <w:pPr>
              <w:widowControl/>
              <w:adjustRightInd w:val="0"/>
              <w:snapToGrid w:val="0"/>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 xml:space="preserve">    4.甲方有义务保证所提供的信息、资料真实有效，如变更，应及时到乙方办理变更登记，因甲方未及时办理相关变更手续而造成的损失，乙方不承担责任。本协议履行过程中乙方需联系甲方时，乙方按照本协议中约定的联系或通知方式联系甲方，其中对其代理人的通知视为对甲方的通知。</w:t>
            </w:r>
          </w:p>
          <w:p>
            <w:pPr>
              <w:widowControl/>
              <w:adjustRightInd w:val="0"/>
              <w:snapToGrid w:val="0"/>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 xml:space="preserve">    5.甲方有义务在其资金账户（下称“甲方资金账户”） 中预留足额的认/申购资金，并按照理财产品合同和乙方业务规则办理认/申购、赎回、转让理财产品，缴纳认/申购、赎回、转让相关费用。如因甲方资金账户冻结、挂失、换卡、销户、长期不动户、变更或其他甲方原因导致理财认/申购、赎回、转让等行为无效的，乙方不承担责任。</w:t>
            </w:r>
          </w:p>
          <w:p>
            <w:pPr>
              <w:widowControl/>
              <w:adjustRightInd w:val="0"/>
              <w:snapToGrid w:val="0"/>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 xml:space="preserve">    6.甲方有义务在理财产品到期日前，不提前支取本金、收益或要求乙方提前退还被扣划款项，且不得将甲方用于购买理财产品或返还本金、收益的资金账户销户。</w:t>
            </w:r>
          </w:p>
          <w:p>
            <w:pPr>
              <w:widowControl/>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7.对于风险评级为R4（含）以上的理财产品的交易，甲方愿意选择以下任意一种方式进行，并按照乙方相关业务规则处理：（1）在乙方网点进行；（2）在乙方网点外的其他渠道(包括但不限于网上银行、 手机银行等渠道)</w:t>
            </w:r>
            <w:r>
              <w:rPr>
                <w:rFonts w:asciiTheme="minorEastAsia" w:hAnsiTheme="minorEastAsia" w:eastAsiaTheme="minorEastAsia"/>
                <w:szCs w:val="21"/>
              </w:rPr>
              <w:t xml:space="preserve"> </w:t>
            </w:r>
            <w:r>
              <w:rPr>
                <w:rFonts w:hint="eastAsia" w:asciiTheme="minorEastAsia" w:hAnsiTheme="minorEastAsia" w:eastAsiaTheme="minorEastAsia"/>
                <w:szCs w:val="21"/>
              </w:rPr>
              <w:t>进行。</w:t>
            </w:r>
          </w:p>
          <w:p>
            <w:pPr>
              <w:widowControl/>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8.乙方有权确定理财产品的销售渠道（包括但不限于网点柜台、网上银行、手机银行）及其覆盖范围，并及时通知甲方。</w:t>
            </w:r>
          </w:p>
          <w:p>
            <w:pPr>
              <w:widowControl/>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9.乙方有权依据理财产品合同独立对理财资金进行投资管理，并可委托经相关监管机构批准或认可的其他金融机构对理财资金进行投资管理。</w:t>
            </w:r>
          </w:p>
          <w:p>
            <w:pPr>
              <w:widowControl/>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10.乙方有权从甲方资金账户扣划本协议项下理财产品相应认/申购资金等理财款项； 除非双方另有书面约定，在甲方购买风险较高或单笔金额较大的理财产品情形下，乙方进行上述资金扣划时无须与甲方再进行电话等任何方式的最后确认，如甲方不同意购买该理财产品且《产品说明书》约定可以撤销购买，甲方应在乙方规定的交易截止时点前及时通知乙方。</w:t>
            </w:r>
          </w:p>
          <w:p>
            <w:pPr>
              <w:widowControl/>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11.乙方有权依据理财产品合同决定理财资金本金和收益分配方案；乙方有权向甲方收取一定的理财产品管理费、销售费、托管费等相关费用，具体收费项目、条件、方式和标准详见《产品说明书》。</w:t>
            </w:r>
          </w:p>
          <w:p>
            <w:pPr>
              <w:widowControl/>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 xml:space="preserve">12.认购期满，如募集资金未达到《产品说明书》所规定的规模下限，乙方有权终止该理财产品或相应延长认购期；如提前达到《产品说明书》所规定的募集金额上限，乙方有权提前结束认购并相应调整理财产品起息日和到期日。 </w:t>
            </w:r>
          </w:p>
          <w:p>
            <w:pPr>
              <w:widowControl/>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13.乙方依约定将理财的本金及收益划入甲方资金账户，即视为向甲方完成支付义务。</w:t>
            </w:r>
          </w:p>
          <w:p>
            <w:pPr>
              <w:widowControl/>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14.乙方有义务根据恪守信用、勤勉尽责的原则管理和运用理财产品财产，维护甲方利益。</w:t>
            </w:r>
          </w:p>
          <w:p>
            <w:pPr>
              <w:widowControl/>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15.乙方有义务按照《产品说明书》的约定在相应渠道上披露理财产品相关信息。</w:t>
            </w:r>
          </w:p>
          <w:p>
            <w:pPr>
              <w:widowControl/>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16.除另有约定外，乙方不负责代扣代缴甲方应缴纳的税款。</w:t>
            </w:r>
          </w:p>
          <w:p>
            <w:pPr>
              <w:spacing w:line="36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17.甲、乙双方对本协议及其条款负有保密义务。除法律法规、监管规定另有要求外，未经一方书面认可，另一方不得向任何组织、个人提供或泄露与对方有关的资料和信息</w:t>
            </w:r>
            <w:r>
              <w:rPr>
                <w:rFonts w:asciiTheme="minorEastAsia" w:hAnsiTheme="minorEastAsia" w:eastAsiaTheme="minorEastAsia"/>
                <w:szCs w:val="21"/>
              </w:rPr>
              <w:t xml:space="preserve"> </w:t>
            </w:r>
            <w:r>
              <w:rPr>
                <w:rFonts w:hint="eastAsia" w:asciiTheme="minorEastAsia" w:hAnsiTheme="minorEastAsia" w:eastAsiaTheme="minorEastAsia"/>
                <w:szCs w:val="21"/>
              </w:rPr>
              <w:t>。</w:t>
            </w:r>
          </w:p>
          <w:p>
            <w:pPr>
              <w:spacing w:line="36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甲方知晓并同意：乙方根据适用的法律法规、监管规定对投资者及持有的理财产品的相关信息进行登记，并传输给银行业理财登记托管中心。</w:t>
            </w:r>
          </w:p>
          <w:p>
            <w:pPr>
              <w:widowControl/>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18.法律法规、监管规定和理财产品合同规定的其他权利和义务。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62" w:type="dxa"/>
            <w:gridSpan w:val="14"/>
            <w:shd w:val="clear" w:color="auto" w:fill="3399FF"/>
          </w:tcPr>
          <w:p>
            <w:pPr>
              <w:widowControl/>
              <w:tabs>
                <w:tab w:val="left" w:pos="8070"/>
                <w:tab w:val="right" w:pos="8306"/>
              </w:tabs>
              <w:adjustRightInd w:val="0"/>
              <w:snapToGrid w:val="0"/>
              <w:spacing w:line="360" w:lineRule="auto"/>
              <w:jc w:val="center"/>
              <w:rPr>
                <w:rFonts w:cs="宋体" w:asciiTheme="minorEastAsia" w:hAnsiTheme="minorEastAsia" w:eastAsiaTheme="minorEastAsia"/>
                <w:bCs/>
                <w:kern w:val="0"/>
                <w:szCs w:val="21"/>
              </w:rPr>
            </w:pPr>
            <w:r>
              <w:rPr>
                <w:rStyle w:val="9"/>
                <w:rFonts w:hint="eastAsia" w:cs="宋体" w:asciiTheme="minorEastAsia" w:hAnsiTheme="minorEastAsia" w:eastAsiaTheme="minorEastAsia"/>
                <w:kern w:val="0"/>
                <w:szCs w:val="21"/>
              </w:rPr>
              <w:t>五、违约责任与争议处理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62" w:type="dxa"/>
            <w:gridSpan w:val="14"/>
            <w:tcBorders>
              <w:bottom w:val="single" w:color="000000" w:sz="4" w:space="0"/>
            </w:tcBorders>
          </w:tcPr>
          <w:p>
            <w:pPr>
              <w:widowControl/>
              <w:tabs>
                <w:tab w:val="left" w:pos="0"/>
              </w:tabs>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1.一方不能履行或不能完全履行理财产品合同的，应承担违约责任。</w:t>
            </w:r>
          </w:p>
          <w:p>
            <w:pPr>
              <w:widowControl/>
              <w:tabs>
                <w:tab w:val="left" w:pos="0"/>
              </w:tabs>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因法律法规、监管规定、监管部门政策变化、自然灾害、意外事故、战争、系统故障、通讯故障等乙方不能控制或不可归责于乙方的因素，导致乙方无法履行本协议及其他理财产品合同的，乙方不承担责任，但乙方应在条件允许的情况下采取必要的补救措施，以减少损失。</w:t>
            </w:r>
          </w:p>
          <w:p>
            <w:pPr>
              <w:widowControl/>
              <w:tabs>
                <w:tab w:val="left" w:pos="0"/>
              </w:tabs>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3.本协议及理财产品合同均适用中华人民共和国法律。本协议项下的任何争议，双方应通过友好协商解决；若协商不成，依法向乙方所在地人民法院提起诉讼。在争议解决期间，若该争议不影响本协议及理财产品合同其他条款的履行，则该其他条款应继续履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62" w:type="dxa"/>
            <w:gridSpan w:val="14"/>
            <w:shd w:val="clear" w:color="auto" w:fill="3399FF"/>
          </w:tcPr>
          <w:p>
            <w:pPr>
              <w:widowControl/>
              <w:tabs>
                <w:tab w:val="left" w:pos="8070"/>
                <w:tab w:val="right" w:pos="8306"/>
              </w:tabs>
              <w:adjustRightInd w:val="0"/>
              <w:snapToGrid w:val="0"/>
              <w:spacing w:line="360" w:lineRule="auto"/>
              <w:jc w:val="center"/>
              <w:rPr>
                <w:rFonts w:cs="宋体" w:asciiTheme="minorEastAsia" w:hAnsiTheme="minorEastAsia" w:eastAsiaTheme="minorEastAsia"/>
                <w:bCs/>
                <w:kern w:val="0"/>
                <w:szCs w:val="21"/>
              </w:rPr>
            </w:pPr>
            <w:r>
              <w:rPr>
                <w:rStyle w:val="9"/>
                <w:rFonts w:hint="eastAsia" w:cs="宋体" w:asciiTheme="minorEastAsia" w:hAnsiTheme="minorEastAsia" w:eastAsiaTheme="minorEastAsia"/>
                <w:kern w:val="0"/>
                <w:szCs w:val="21"/>
              </w:rPr>
              <w:t>六、协议的签署和生效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62" w:type="dxa"/>
            <w:gridSpan w:val="14"/>
            <w:tcBorders>
              <w:bottom w:val="single" w:color="000000" w:sz="4" w:space="0"/>
            </w:tcBorders>
          </w:tcPr>
          <w:p>
            <w:pPr>
              <w:widowControl/>
              <w:tabs>
                <w:tab w:val="left" w:pos="0"/>
              </w:tabs>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1.甲方为个人投资者的，本协议经甲方签字，乙方盖章后生效；甲方为机构投资者的，本协议经甲方法定代表人或授权代理人签章并加盖法人公章，乙方盖章后生效；</w:t>
            </w:r>
          </w:p>
          <w:p>
            <w:pPr>
              <w:widowControl/>
              <w:tabs>
                <w:tab w:val="left" w:pos="0"/>
              </w:tabs>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w:t>
            </w:r>
            <w:r>
              <w:rPr>
                <w:rStyle w:val="9"/>
                <w:rFonts w:hint="eastAsia" w:cs="宋体" w:asciiTheme="minorEastAsia" w:hAnsiTheme="minorEastAsia" w:eastAsiaTheme="minorEastAsia"/>
                <w:b w:val="0"/>
                <w:kern w:val="0"/>
                <w:szCs w:val="21"/>
              </w:rPr>
              <w:t xml:space="preserve"> 若甲方通过乙方电子渠道（包括但不限于网上银行、手机银行等）购买，则本协议经甲方确认并经乙方销售系统确认成交之日起生效。</w:t>
            </w:r>
          </w:p>
          <w:p>
            <w:pPr>
              <w:widowControl/>
              <w:tabs>
                <w:tab w:val="left" w:pos="0"/>
              </w:tabs>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3.除《产品说明书》约定的提前终止情形外，甲方有违约行为或甲方资金账户被有权机关冻结、扣划时，乙方有权提前终止本合同，且乙方不承担任何责任。</w:t>
            </w:r>
          </w:p>
          <w:p>
            <w:pPr>
              <w:widowControl/>
              <w:tabs>
                <w:tab w:val="left" w:pos="0"/>
              </w:tabs>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4.本协议一式两份，具有同等法律效力，甲乙双方各执一份。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62" w:type="dxa"/>
            <w:gridSpan w:val="14"/>
            <w:shd w:val="clear" w:color="auto" w:fill="3399FF"/>
          </w:tcPr>
          <w:p>
            <w:pPr>
              <w:widowControl/>
              <w:tabs>
                <w:tab w:val="left" w:pos="8070"/>
                <w:tab w:val="right" w:pos="8306"/>
              </w:tabs>
              <w:adjustRightInd w:val="0"/>
              <w:snapToGrid w:val="0"/>
              <w:spacing w:line="360" w:lineRule="auto"/>
              <w:jc w:val="center"/>
              <w:rPr>
                <w:rFonts w:cs="宋体" w:asciiTheme="minorEastAsia" w:hAnsiTheme="minorEastAsia" w:eastAsiaTheme="minorEastAsia"/>
                <w:bCs/>
                <w:kern w:val="0"/>
                <w:szCs w:val="21"/>
              </w:rPr>
            </w:pPr>
            <w:r>
              <w:rPr>
                <w:rStyle w:val="9"/>
                <w:rFonts w:hint="eastAsia" w:cs="宋体" w:asciiTheme="minorEastAsia" w:hAnsiTheme="minorEastAsia" w:eastAsiaTheme="minorEastAsia"/>
                <w:kern w:val="0"/>
                <w:szCs w:val="21"/>
              </w:rPr>
              <w:t>协议签署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94" w:hRule="atLeast"/>
        </w:trPr>
        <w:tc>
          <w:tcPr>
            <w:tcW w:w="9962" w:type="dxa"/>
            <w:gridSpan w:val="14"/>
          </w:tcPr>
          <w:p>
            <w:pPr>
              <w:widowControl/>
              <w:tabs>
                <w:tab w:val="left" w:pos="0"/>
              </w:tabs>
              <w:adjustRightInd w:val="0"/>
              <w:snapToGrid w:val="0"/>
              <w:spacing w:line="360" w:lineRule="auto"/>
              <w:jc w:val="left"/>
              <w:rPr>
                <w:rFonts w:asciiTheme="minorEastAsia" w:hAnsiTheme="minorEastAsia" w:eastAsiaTheme="minorEastAsia"/>
                <w:b/>
                <w:szCs w:val="21"/>
              </w:rPr>
            </w:pPr>
            <w:r>
              <w:rPr>
                <w:rFonts w:hint="eastAsia" w:asciiTheme="minorEastAsia" w:hAnsiTheme="minorEastAsia" w:eastAsiaTheme="minorEastAsia"/>
                <w:b/>
                <w:szCs w:val="21"/>
              </w:rPr>
              <w:t>甲方声明：</w:t>
            </w:r>
          </w:p>
          <w:p>
            <w:pPr>
              <w:widowControl/>
              <w:tabs>
                <w:tab w:val="left" w:pos="0"/>
              </w:tabs>
              <w:adjustRightInd w:val="0"/>
              <w:snapToGrid w:val="0"/>
              <w:spacing w:line="360" w:lineRule="auto"/>
              <w:jc w:val="left"/>
              <w:rPr>
                <w:rFonts w:asciiTheme="minorEastAsia" w:hAnsiTheme="minorEastAsia" w:eastAsiaTheme="minorEastAsia"/>
                <w:b/>
                <w:szCs w:val="21"/>
              </w:rPr>
            </w:pPr>
            <w:r>
              <w:rPr>
                <w:rFonts w:hint="eastAsia" w:asciiTheme="minorEastAsia" w:hAnsiTheme="minorEastAsia" w:eastAsiaTheme="minorEastAsia"/>
                <w:b/>
                <w:szCs w:val="21"/>
              </w:rPr>
              <w:t xml:space="preserve">    （一）甲方已经收到所购买理财产品相关的《风险揭示书》、《产品说明书》和《客户权益须知》，并已完全理解和接受上述文件及本协议的全部内容，清楚了解所购买理财产品的内容及风险。甲方的投资决策完全出于自身独立自主判断做出，并愿意承担所购买（或赎回、撤单）理财产品所产生的相关风险和全部后果。</w:t>
            </w:r>
          </w:p>
          <w:p>
            <w:pPr>
              <w:widowControl/>
              <w:tabs>
                <w:tab w:val="left" w:pos="0"/>
              </w:tabs>
              <w:adjustRightInd w:val="0"/>
              <w:snapToGrid w:val="0"/>
              <w:spacing w:line="360" w:lineRule="auto"/>
              <w:ind w:firstLine="413" w:firstLineChars="196"/>
              <w:jc w:val="left"/>
              <w:rPr>
                <w:rFonts w:asciiTheme="minorEastAsia" w:hAnsiTheme="minorEastAsia" w:eastAsiaTheme="minorEastAsia"/>
                <w:b/>
                <w:szCs w:val="21"/>
              </w:rPr>
            </w:pPr>
            <w:r>
              <w:rPr>
                <w:rFonts w:hint="eastAsia" w:asciiTheme="minorEastAsia" w:hAnsiTheme="minorEastAsia" w:eastAsiaTheme="minorEastAsia"/>
                <w:b/>
                <w:szCs w:val="21"/>
              </w:rPr>
              <w:t>（二）甲方确认乙方相关业务人员对本协议中有关甲乙双方的权利义务，及甲乙双方单方面拥有的某些权利和限制性义务予以解释说明，甲方愿意接受上述条款约束，双方对本协议条款的理解已完全达成一致。</w:t>
            </w:r>
          </w:p>
          <w:p>
            <w:pPr>
              <w:widowControl/>
              <w:tabs>
                <w:tab w:val="left" w:pos="0"/>
              </w:tabs>
              <w:adjustRightInd w:val="0"/>
              <w:snapToGrid w:val="0"/>
              <w:spacing w:line="360" w:lineRule="auto"/>
              <w:ind w:firstLine="413" w:firstLineChars="196"/>
              <w:jc w:val="left"/>
              <w:rPr>
                <w:rFonts w:asciiTheme="minorEastAsia" w:hAnsiTheme="minorEastAsia" w:eastAsiaTheme="minorEastAsia"/>
                <w:b/>
                <w:szCs w:val="21"/>
              </w:rPr>
            </w:pPr>
          </w:p>
          <w:p>
            <w:pPr>
              <w:widowControl/>
              <w:tabs>
                <w:tab w:val="left" w:pos="0"/>
              </w:tabs>
              <w:adjustRightInd w:val="0"/>
              <w:snapToGrid w:val="0"/>
              <w:spacing w:line="360" w:lineRule="auto"/>
              <w:ind w:firstLine="413" w:firstLineChars="196"/>
              <w:jc w:val="left"/>
              <w:rPr>
                <w:rFonts w:asciiTheme="minorEastAsia" w:hAnsiTheme="minorEastAsia" w:eastAsiaTheme="minorEastAsia"/>
                <w:b/>
                <w:szCs w:val="21"/>
                <w:u w:val="single"/>
              </w:rPr>
            </w:pPr>
            <w:r>
              <w:rPr>
                <w:rFonts w:hint="eastAsia" w:asciiTheme="minorEastAsia" w:hAnsiTheme="minorEastAsia" w:eastAsiaTheme="minorEastAsia"/>
                <w:b/>
                <w:szCs w:val="21"/>
              </w:rPr>
              <w:t>甲方：                                         乙方：新疆银行股份有限公司</w:t>
            </w:r>
            <w:r>
              <w:rPr>
                <w:rFonts w:hint="eastAsia" w:asciiTheme="minorEastAsia" w:hAnsiTheme="minorEastAsia" w:eastAsiaTheme="minorEastAsia"/>
                <w:b/>
                <w:szCs w:val="21"/>
                <w:u w:val="single"/>
              </w:rPr>
              <w:t xml:space="preserve">            </w:t>
            </w:r>
          </w:p>
          <w:p>
            <w:pPr>
              <w:widowControl/>
              <w:tabs>
                <w:tab w:val="left" w:pos="0"/>
              </w:tabs>
              <w:adjustRightInd w:val="0"/>
              <w:snapToGrid w:val="0"/>
              <w:spacing w:line="360" w:lineRule="auto"/>
              <w:ind w:firstLine="413" w:firstLineChars="196"/>
              <w:jc w:val="left"/>
              <w:rPr>
                <w:rFonts w:asciiTheme="minorEastAsia" w:hAnsiTheme="minorEastAsia" w:eastAsiaTheme="minorEastAsia"/>
                <w:b/>
                <w:szCs w:val="21"/>
              </w:rPr>
            </w:pPr>
          </w:p>
          <w:p>
            <w:pPr>
              <w:widowControl/>
              <w:tabs>
                <w:tab w:val="left" w:pos="0"/>
              </w:tabs>
              <w:adjustRightInd w:val="0"/>
              <w:snapToGrid w:val="0"/>
              <w:spacing w:line="360" w:lineRule="auto"/>
              <w:ind w:firstLine="413" w:firstLineChars="196"/>
              <w:jc w:val="left"/>
              <w:rPr>
                <w:rFonts w:asciiTheme="minorEastAsia" w:hAnsiTheme="minorEastAsia" w:eastAsiaTheme="minorEastAsia"/>
                <w:b/>
                <w:szCs w:val="21"/>
              </w:rPr>
            </w:pPr>
            <w:r>
              <w:rPr>
                <w:rFonts w:hint="eastAsia" w:asciiTheme="minorEastAsia" w:hAnsiTheme="minorEastAsia" w:eastAsiaTheme="minorEastAsia"/>
                <w:b/>
                <w:szCs w:val="21"/>
              </w:rPr>
              <w:t>法定代表人/授权代理人：                        理财经理：</w:t>
            </w:r>
          </w:p>
          <w:p>
            <w:pPr>
              <w:widowControl/>
              <w:tabs>
                <w:tab w:val="left" w:pos="0"/>
              </w:tabs>
              <w:adjustRightInd w:val="0"/>
              <w:snapToGrid w:val="0"/>
              <w:spacing w:line="360" w:lineRule="auto"/>
              <w:ind w:firstLine="413" w:firstLineChars="196"/>
              <w:jc w:val="left"/>
              <w:rPr>
                <w:rFonts w:asciiTheme="minorEastAsia" w:hAnsiTheme="minorEastAsia" w:eastAsiaTheme="minorEastAsia"/>
                <w:b/>
                <w:szCs w:val="21"/>
              </w:rPr>
            </w:pPr>
          </w:p>
          <w:p>
            <w:pPr>
              <w:widowControl/>
              <w:tabs>
                <w:tab w:val="left" w:pos="0"/>
              </w:tabs>
              <w:adjustRightInd w:val="0"/>
              <w:snapToGrid w:val="0"/>
              <w:spacing w:line="360" w:lineRule="auto"/>
              <w:ind w:firstLine="413" w:firstLineChars="196"/>
              <w:jc w:val="left"/>
              <w:rPr>
                <w:rFonts w:asciiTheme="minorEastAsia" w:hAnsiTheme="minorEastAsia" w:eastAsiaTheme="minorEastAsia"/>
                <w:b/>
                <w:szCs w:val="21"/>
              </w:rPr>
            </w:pPr>
            <w:r>
              <w:rPr>
                <w:rFonts w:hint="eastAsia" w:asciiTheme="minorEastAsia" w:hAnsiTheme="minorEastAsia" w:eastAsiaTheme="minorEastAsia"/>
                <w:b/>
                <w:szCs w:val="21"/>
              </w:rPr>
              <w:t>日期：                                         理财经理证书编号：</w:t>
            </w:r>
          </w:p>
          <w:p>
            <w:pPr>
              <w:widowControl/>
              <w:tabs>
                <w:tab w:val="left" w:pos="0"/>
              </w:tabs>
              <w:adjustRightInd w:val="0"/>
              <w:snapToGrid w:val="0"/>
              <w:spacing w:line="360" w:lineRule="auto"/>
              <w:ind w:firstLine="5384" w:firstLineChars="2554"/>
              <w:jc w:val="left"/>
              <w:rPr>
                <w:rFonts w:asciiTheme="minorEastAsia" w:hAnsiTheme="minorEastAsia" w:eastAsiaTheme="minorEastAsia"/>
                <w:b/>
                <w:szCs w:val="21"/>
              </w:rPr>
            </w:pPr>
          </w:p>
          <w:p>
            <w:pPr>
              <w:widowControl/>
              <w:tabs>
                <w:tab w:val="left" w:pos="0"/>
              </w:tabs>
              <w:adjustRightInd w:val="0"/>
              <w:snapToGrid w:val="0"/>
              <w:spacing w:line="360" w:lineRule="auto"/>
              <w:ind w:firstLine="5285" w:firstLineChars="2507"/>
              <w:jc w:val="left"/>
              <w:rPr>
                <w:rFonts w:asciiTheme="minorEastAsia" w:hAnsiTheme="minorEastAsia" w:eastAsiaTheme="minorEastAsia"/>
                <w:b/>
                <w:szCs w:val="21"/>
              </w:rPr>
            </w:pPr>
            <w:r>
              <w:rPr>
                <w:rFonts w:hint="eastAsia" w:asciiTheme="minorEastAsia" w:hAnsiTheme="minorEastAsia" w:eastAsiaTheme="minorEastAsia"/>
                <w:b/>
                <w:szCs w:val="21"/>
              </w:rPr>
              <w:t xml:space="preserve"> 日期： </w:t>
            </w:r>
          </w:p>
          <w:p>
            <w:pPr>
              <w:widowControl/>
              <w:tabs>
                <w:tab w:val="left" w:pos="0"/>
              </w:tabs>
              <w:adjustRightInd w:val="0"/>
              <w:snapToGrid w:val="0"/>
              <w:spacing w:line="360" w:lineRule="auto"/>
              <w:jc w:val="left"/>
              <w:rPr>
                <w:rFonts w:asciiTheme="minorEastAsia" w:hAnsiTheme="minorEastAsia" w:eastAsiaTheme="minorEastAsia"/>
                <w:b/>
                <w:szCs w:val="21"/>
              </w:rPr>
            </w:pPr>
          </w:p>
        </w:tc>
      </w:tr>
    </w:tbl>
    <w:p>
      <w:pPr>
        <w:spacing w:line="360" w:lineRule="auto"/>
        <w:rPr>
          <w:rFonts w:cs="宋体" w:asciiTheme="minorEastAsia" w:hAnsiTheme="minorEastAsia" w:eastAsiaTheme="minorEastAsia"/>
          <w:bCs/>
          <w:kern w:val="0"/>
          <w:szCs w:val="21"/>
        </w:rPr>
      </w:pPr>
    </w:p>
    <w:sectPr>
      <w:head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jc w:val="left"/>
    </w:pPr>
    <w:r>
      <w:drawing>
        <wp:anchor distT="0" distB="0" distL="114300" distR="114300" simplePos="0" relativeHeight="251658240" behindDoc="0" locked="0" layoutInCell="1" allowOverlap="1">
          <wp:simplePos x="0" y="0"/>
          <wp:positionH relativeFrom="column">
            <wp:posOffset>19050</wp:posOffset>
          </wp:positionH>
          <wp:positionV relativeFrom="paragraph">
            <wp:posOffset>2540</wp:posOffset>
          </wp:positionV>
          <wp:extent cx="1857375" cy="361950"/>
          <wp:effectExtent l="19050" t="0" r="9525"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
                    <a:lum bright="-10000" contrast="40000"/>
                  </a:blip>
                  <a:srcRect/>
                  <a:stretch>
                    <a:fillRect/>
                  </a:stretch>
                </pic:blipFill>
                <pic:spPr>
                  <a:xfrm>
                    <a:off x="0" y="0"/>
                    <a:ext cx="1857375" cy="361950"/>
                  </a:xfrm>
                  <a:prstGeom prst="rect">
                    <a:avLst/>
                  </a:prstGeom>
                  <a:noFill/>
                  <a:ln w="9525">
                    <a:noFill/>
                    <a:miter lim="800000"/>
                    <a:headEnd/>
                    <a:tailEnd/>
                  </a:ln>
                </pic:spPr>
              </pic:pic>
            </a:graphicData>
          </a:graphic>
        </wp:anchor>
      </w:drawing>
    </w:r>
  </w:p>
  <w:p>
    <w:pPr>
      <w:pStyle w:val="4"/>
      <w:pBdr>
        <w:bottom w:val="none" w:color="auto" w:sz="0" w:space="0"/>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2"/>
  </w:compat>
  <w:rsids>
    <w:rsidRoot w:val="005612E4"/>
    <w:rsid w:val="00001B27"/>
    <w:rsid w:val="00005909"/>
    <w:rsid w:val="0000676D"/>
    <w:rsid w:val="00027AA5"/>
    <w:rsid w:val="000331E4"/>
    <w:rsid w:val="00045869"/>
    <w:rsid w:val="000533F1"/>
    <w:rsid w:val="000576A0"/>
    <w:rsid w:val="00061366"/>
    <w:rsid w:val="000660F0"/>
    <w:rsid w:val="00067119"/>
    <w:rsid w:val="0006774E"/>
    <w:rsid w:val="000814B2"/>
    <w:rsid w:val="00094495"/>
    <w:rsid w:val="000C6731"/>
    <w:rsid w:val="000D0F1B"/>
    <w:rsid w:val="000F2C67"/>
    <w:rsid w:val="000F409C"/>
    <w:rsid w:val="001247FC"/>
    <w:rsid w:val="001348EF"/>
    <w:rsid w:val="0019089E"/>
    <w:rsid w:val="00197EC6"/>
    <w:rsid w:val="001B2259"/>
    <w:rsid w:val="001D0707"/>
    <w:rsid w:val="001F5AEA"/>
    <w:rsid w:val="00224CC2"/>
    <w:rsid w:val="00232FA8"/>
    <w:rsid w:val="002379BB"/>
    <w:rsid w:val="00242881"/>
    <w:rsid w:val="002641E5"/>
    <w:rsid w:val="00271EA0"/>
    <w:rsid w:val="00284E3E"/>
    <w:rsid w:val="002D27C5"/>
    <w:rsid w:val="002F560B"/>
    <w:rsid w:val="002F6EC4"/>
    <w:rsid w:val="00300253"/>
    <w:rsid w:val="0031502F"/>
    <w:rsid w:val="003317D7"/>
    <w:rsid w:val="0034756F"/>
    <w:rsid w:val="00362212"/>
    <w:rsid w:val="00364CEB"/>
    <w:rsid w:val="00381D34"/>
    <w:rsid w:val="003919EE"/>
    <w:rsid w:val="00394A1C"/>
    <w:rsid w:val="003A1F39"/>
    <w:rsid w:val="003B7D68"/>
    <w:rsid w:val="003D328B"/>
    <w:rsid w:val="003E05C9"/>
    <w:rsid w:val="003F1B6C"/>
    <w:rsid w:val="00440BFD"/>
    <w:rsid w:val="00443CBF"/>
    <w:rsid w:val="004478A4"/>
    <w:rsid w:val="00452D33"/>
    <w:rsid w:val="0046288B"/>
    <w:rsid w:val="00474952"/>
    <w:rsid w:val="004776B0"/>
    <w:rsid w:val="00481581"/>
    <w:rsid w:val="004844A0"/>
    <w:rsid w:val="00484957"/>
    <w:rsid w:val="004B01E1"/>
    <w:rsid w:val="004B0863"/>
    <w:rsid w:val="004B718F"/>
    <w:rsid w:val="004C03E1"/>
    <w:rsid w:val="004F0EAF"/>
    <w:rsid w:val="004F24CD"/>
    <w:rsid w:val="004F3DB3"/>
    <w:rsid w:val="00500D9F"/>
    <w:rsid w:val="0050610C"/>
    <w:rsid w:val="0052201F"/>
    <w:rsid w:val="0052339C"/>
    <w:rsid w:val="005301C2"/>
    <w:rsid w:val="00531FEA"/>
    <w:rsid w:val="00546A6F"/>
    <w:rsid w:val="00553F11"/>
    <w:rsid w:val="005540D6"/>
    <w:rsid w:val="00554C33"/>
    <w:rsid w:val="005612E4"/>
    <w:rsid w:val="005652FB"/>
    <w:rsid w:val="005765BB"/>
    <w:rsid w:val="0058335C"/>
    <w:rsid w:val="005A1872"/>
    <w:rsid w:val="005A267B"/>
    <w:rsid w:val="005A26A0"/>
    <w:rsid w:val="005B0516"/>
    <w:rsid w:val="005C3195"/>
    <w:rsid w:val="005C75A9"/>
    <w:rsid w:val="005D1F93"/>
    <w:rsid w:val="00602E2A"/>
    <w:rsid w:val="00606E3D"/>
    <w:rsid w:val="00614168"/>
    <w:rsid w:val="00661C29"/>
    <w:rsid w:val="006628C7"/>
    <w:rsid w:val="0067292A"/>
    <w:rsid w:val="00680240"/>
    <w:rsid w:val="00681907"/>
    <w:rsid w:val="00684F5E"/>
    <w:rsid w:val="006853EF"/>
    <w:rsid w:val="006C1CD7"/>
    <w:rsid w:val="006C3F17"/>
    <w:rsid w:val="006C7243"/>
    <w:rsid w:val="006D3F93"/>
    <w:rsid w:val="006D5E9F"/>
    <w:rsid w:val="006D7F7C"/>
    <w:rsid w:val="006E5587"/>
    <w:rsid w:val="006F20FD"/>
    <w:rsid w:val="00727B13"/>
    <w:rsid w:val="007352AE"/>
    <w:rsid w:val="00753B8A"/>
    <w:rsid w:val="0076609B"/>
    <w:rsid w:val="007725D5"/>
    <w:rsid w:val="007B2350"/>
    <w:rsid w:val="007D0068"/>
    <w:rsid w:val="007E0EFF"/>
    <w:rsid w:val="007F3785"/>
    <w:rsid w:val="00810934"/>
    <w:rsid w:val="008359CF"/>
    <w:rsid w:val="00862CB7"/>
    <w:rsid w:val="00867592"/>
    <w:rsid w:val="008843E9"/>
    <w:rsid w:val="00884D6F"/>
    <w:rsid w:val="00895EF0"/>
    <w:rsid w:val="008963D9"/>
    <w:rsid w:val="008A4123"/>
    <w:rsid w:val="008B3926"/>
    <w:rsid w:val="008D6DD4"/>
    <w:rsid w:val="008E2FA7"/>
    <w:rsid w:val="00902EBC"/>
    <w:rsid w:val="00903A4B"/>
    <w:rsid w:val="009369EF"/>
    <w:rsid w:val="00951248"/>
    <w:rsid w:val="00960D08"/>
    <w:rsid w:val="009658A6"/>
    <w:rsid w:val="00971C0E"/>
    <w:rsid w:val="00972A44"/>
    <w:rsid w:val="0098131E"/>
    <w:rsid w:val="00986490"/>
    <w:rsid w:val="009F6D3A"/>
    <w:rsid w:val="00A110E1"/>
    <w:rsid w:val="00A1321E"/>
    <w:rsid w:val="00A33A8F"/>
    <w:rsid w:val="00A42734"/>
    <w:rsid w:val="00A672DE"/>
    <w:rsid w:val="00A70E53"/>
    <w:rsid w:val="00A84D9C"/>
    <w:rsid w:val="00A850AA"/>
    <w:rsid w:val="00A9439E"/>
    <w:rsid w:val="00AA1452"/>
    <w:rsid w:val="00AC31A1"/>
    <w:rsid w:val="00AC78D2"/>
    <w:rsid w:val="00AD0E04"/>
    <w:rsid w:val="00AD2725"/>
    <w:rsid w:val="00AD2F37"/>
    <w:rsid w:val="00AF2D41"/>
    <w:rsid w:val="00B144DC"/>
    <w:rsid w:val="00B17271"/>
    <w:rsid w:val="00B3361E"/>
    <w:rsid w:val="00B37615"/>
    <w:rsid w:val="00B50714"/>
    <w:rsid w:val="00B76360"/>
    <w:rsid w:val="00B8066A"/>
    <w:rsid w:val="00B824AF"/>
    <w:rsid w:val="00B92B03"/>
    <w:rsid w:val="00BB43C0"/>
    <w:rsid w:val="00BC1190"/>
    <w:rsid w:val="00BC654A"/>
    <w:rsid w:val="00BD6333"/>
    <w:rsid w:val="00BE621A"/>
    <w:rsid w:val="00BF1AB3"/>
    <w:rsid w:val="00C4477C"/>
    <w:rsid w:val="00C44CBB"/>
    <w:rsid w:val="00C90ACB"/>
    <w:rsid w:val="00C91EFD"/>
    <w:rsid w:val="00CA70FD"/>
    <w:rsid w:val="00CB0920"/>
    <w:rsid w:val="00CB12E9"/>
    <w:rsid w:val="00CC5394"/>
    <w:rsid w:val="00CD427F"/>
    <w:rsid w:val="00CE0C92"/>
    <w:rsid w:val="00CF5A43"/>
    <w:rsid w:val="00D04CAA"/>
    <w:rsid w:val="00D07E27"/>
    <w:rsid w:val="00D22461"/>
    <w:rsid w:val="00D32544"/>
    <w:rsid w:val="00D424E1"/>
    <w:rsid w:val="00D51B63"/>
    <w:rsid w:val="00D56772"/>
    <w:rsid w:val="00D62F65"/>
    <w:rsid w:val="00D85F58"/>
    <w:rsid w:val="00DB16A0"/>
    <w:rsid w:val="00DB7D7F"/>
    <w:rsid w:val="00DD4885"/>
    <w:rsid w:val="00DD696B"/>
    <w:rsid w:val="00DE4D49"/>
    <w:rsid w:val="00E01986"/>
    <w:rsid w:val="00E05D4A"/>
    <w:rsid w:val="00E21713"/>
    <w:rsid w:val="00E23920"/>
    <w:rsid w:val="00E249E9"/>
    <w:rsid w:val="00E37C93"/>
    <w:rsid w:val="00E441E4"/>
    <w:rsid w:val="00E54C43"/>
    <w:rsid w:val="00E66035"/>
    <w:rsid w:val="00E66323"/>
    <w:rsid w:val="00E720BB"/>
    <w:rsid w:val="00E7397E"/>
    <w:rsid w:val="00E749AB"/>
    <w:rsid w:val="00E806F8"/>
    <w:rsid w:val="00E909C8"/>
    <w:rsid w:val="00E9670D"/>
    <w:rsid w:val="00EA5984"/>
    <w:rsid w:val="00EB0341"/>
    <w:rsid w:val="00EC071C"/>
    <w:rsid w:val="00ED4D56"/>
    <w:rsid w:val="00ED6364"/>
    <w:rsid w:val="00EE3467"/>
    <w:rsid w:val="00EE4E2A"/>
    <w:rsid w:val="00EF6CC5"/>
    <w:rsid w:val="00F03CBD"/>
    <w:rsid w:val="00F24E53"/>
    <w:rsid w:val="00F24F20"/>
    <w:rsid w:val="00F62800"/>
    <w:rsid w:val="00F66F38"/>
    <w:rsid w:val="00F96A97"/>
    <w:rsid w:val="00FA6167"/>
    <w:rsid w:val="00FB38CD"/>
    <w:rsid w:val="00FC7471"/>
    <w:rsid w:val="00FD18D6"/>
    <w:rsid w:val="00FE6804"/>
    <w:rsid w:val="00FE74FB"/>
    <w:rsid w:val="00FF7571"/>
    <w:rsid w:val="065760B4"/>
    <w:rsid w:val="207F7B06"/>
    <w:rsid w:val="24A776A1"/>
    <w:rsid w:val="2548190E"/>
    <w:rsid w:val="30A90FF0"/>
    <w:rsid w:val="317A1B23"/>
    <w:rsid w:val="3CDF2599"/>
    <w:rsid w:val="419C0CC2"/>
    <w:rsid w:val="49166DE6"/>
    <w:rsid w:val="57605062"/>
    <w:rsid w:val="5DA051FC"/>
    <w:rsid w:val="638B23A0"/>
    <w:rsid w:val="6C494FFC"/>
    <w:rsid w:val="6FA678A5"/>
    <w:rsid w:val="7C35518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8">
    <w:name w:val="Default Paragraph Font"/>
    <w:unhideWhenUsed/>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alloon Text"/>
    <w:basedOn w:val="1"/>
    <w:link w:val="12"/>
    <w:unhideWhenUsed/>
    <w:qFormat/>
    <w:uiPriority w:val="99"/>
    <w:rPr>
      <w:sz w:val="18"/>
      <w:szCs w:val="18"/>
    </w:rPr>
  </w:style>
  <w:style w:type="paragraph" w:styleId="3">
    <w:name w:val="footer"/>
    <w:basedOn w:val="1"/>
    <w:link w:val="11"/>
    <w:uiPriority w:val="99"/>
    <w:pPr>
      <w:tabs>
        <w:tab w:val="center" w:pos="4153"/>
        <w:tab w:val="right" w:pos="8306"/>
      </w:tabs>
      <w:snapToGrid w:val="0"/>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Autospacing="1" w:afterAutospacing="1"/>
      <w:jc w:val="left"/>
    </w:pPr>
    <w:rPr>
      <w:rFonts w:ascii="Calibri" w:hAnsi="Calibri"/>
      <w:kern w:val="0"/>
      <w:sz w:val="24"/>
      <w:szCs w:val="24"/>
    </w:rPr>
  </w:style>
  <w:style w:type="table" w:styleId="7">
    <w:name w:val="Table Grid"/>
    <w:basedOn w:val="6"/>
    <w:qFormat/>
    <w:locke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9">
    <w:name w:val="Strong"/>
    <w:basedOn w:val="8"/>
    <w:qFormat/>
    <w:uiPriority w:val="99"/>
    <w:rPr>
      <w:rFonts w:cs="Times New Roman"/>
      <w:b/>
      <w:bCs/>
    </w:rPr>
  </w:style>
  <w:style w:type="character" w:customStyle="1" w:styleId="10">
    <w:name w:val="页眉 Char"/>
    <w:basedOn w:val="8"/>
    <w:link w:val="4"/>
    <w:qFormat/>
    <w:locked/>
    <w:uiPriority w:val="99"/>
    <w:rPr>
      <w:rFonts w:ascii="Times New Roman" w:hAnsi="Times New Roman" w:cs="Times New Roman"/>
      <w:sz w:val="18"/>
      <w:szCs w:val="18"/>
    </w:rPr>
  </w:style>
  <w:style w:type="character" w:customStyle="1" w:styleId="11">
    <w:name w:val="页脚 Char"/>
    <w:basedOn w:val="8"/>
    <w:link w:val="3"/>
    <w:semiHidden/>
    <w:qFormat/>
    <w:locked/>
    <w:uiPriority w:val="99"/>
    <w:rPr>
      <w:rFonts w:ascii="Times New Roman" w:hAnsi="Times New Roman" w:cs="Times New Roman"/>
      <w:sz w:val="18"/>
      <w:szCs w:val="18"/>
    </w:rPr>
  </w:style>
  <w:style w:type="character" w:customStyle="1" w:styleId="12">
    <w:name w:val="批注框文本 Char"/>
    <w:basedOn w:val="8"/>
    <w:link w:val="2"/>
    <w:semiHidden/>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D1467B3-CD20-4721-BD02-FE66361C259D}">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643</Words>
  <Characters>3666</Characters>
  <Lines>30</Lines>
  <Paragraphs>8</Paragraphs>
  <TotalTime>0</TotalTime>
  <ScaleCrop>false</ScaleCrop>
  <LinksUpToDate>false</LinksUpToDate>
  <CharactersWithSpaces>4301</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2017-11-17T10:47:00Z</dcterms:created>
  <dc:creator>曹文芳</dc:creator>
  <cp:lastModifiedBy>曹旭红</cp:lastModifiedBy>
  <cp:lastPrinted>2019-05-06T05:26:00Z</cp:lastPrinted>
  <dcterms:modified xsi:type="dcterms:W3CDTF">2020-08-18T08:57:37Z</dcterms:modified>
  <cp:revision>161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