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6"/>
          <w:rFonts w:hint="eastAsia" w:ascii="方正大黑简体" w:hAnsi="宋体" w:eastAsia="方正大黑简体" w:cs="宋体"/>
          <w:kern w:val="0"/>
          <w:sz w:val="32"/>
          <w:szCs w:val="32"/>
        </w:rPr>
      </w:pPr>
      <w:r>
        <w:rPr>
          <w:rStyle w:val="6"/>
          <w:rFonts w:hint="eastAsia" w:ascii="方正大黑简体" w:hAnsi="宋体" w:eastAsia="方正大黑简体" w:cs="宋体"/>
          <w:kern w:val="0"/>
          <w:sz w:val="32"/>
          <w:szCs w:val="32"/>
        </w:rPr>
        <w:t>客户权益须知</w:t>
      </w:r>
    </w:p>
    <w:p>
      <w:pPr>
        <w:widowControl/>
        <w:spacing w:line="360" w:lineRule="auto"/>
        <w:jc w:val="center"/>
        <w:rPr>
          <w:rStyle w:val="6"/>
          <w:rFonts w:hint="eastAsia" w:ascii="宋体" w:hAnsi="宋体" w:cs="宋体"/>
          <w:kern w:val="0"/>
          <w:sz w:val="18"/>
          <w:szCs w:val="18"/>
        </w:rPr>
      </w:pPr>
      <w:r>
        <w:rPr>
          <w:rStyle w:val="6"/>
          <w:rFonts w:hint="eastAsia" w:ascii="宋体" w:hAnsi="宋体" w:cs="宋体"/>
          <w:kern w:val="0"/>
          <w:sz w:val="18"/>
          <w:szCs w:val="18"/>
        </w:rPr>
        <w:t>理财产品过往业绩不代表其未来表现，不等于理财产品实际收益</w:t>
      </w:r>
    </w:p>
    <w:p>
      <w:pPr>
        <w:spacing w:line="360" w:lineRule="exact"/>
        <w:jc w:val="center"/>
        <w:rPr>
          <w:rStyle w:val="6"/>
          <w:rFonts w:hint="eastAsia" w:ascii="宋体" w:hAnsi="宋体" w:cs="宋体"/>
          <w:kern w:val="0"/>
          <w:sz w:val="18"/>
          <w:szCs w:val="18"/>
        </w:rPr>
      </w:pPr>
      <w:r>
        <w:rPr>
          <w:rStyle w:val="6"/>
          <w:rFonts w:cs="宋体"/>
          <w:bCs w:val="0"/>
          <w:sz w:val="18"/>
          <w:szCs w:val="18"/>
        </w:rPr>
        <w:t xml:space="preserve"> </w:t>
      </w:r>
      <w:bookmarkStart w:id="0" w:name="_GoBack"/>
      <w:bookmarkEnd w:id="0"/>
      <w:r>
        <w:rPr>
          <w:rStyle w:val="6"/>
          <w:rFonts w:hint="eastAsia" w:ascii="宋体" w:hAnsi="宋体" w:cs="宋体"/>
          <w:kern w:val="0"/>
          <w:sz w:val="18"/>
          <w:szCs w:val="18"/>
        </w:rPr>
        <w:t>理财非存款、产品有风险、投资须谨慎</w:t>
      </w:r>
    </w:p>
    <w:p>
      <w:pPr>
        <w:widowControl/>
        <w:jc w:val="left"/>
      </w:pPr>
      <w:r>
        <w:rPr>
          <w:rFonts w:hint="eastAsia" w:ascii="宋体" w:hAnsi="宋体" w:cs="宋体"/>
          <w:kern w:val="0"/>
          <w:sz w:val="18"/>
          <w:szCs w:val="18"/>
        </w:rPr>
        <w:t>尊敬的客户：</w:t>
      </w:r>
    </w:p>
    <w:p>
      <w:pPr>
        <w:widowControl/>
        <w:ind w:firstLine="360" w:firstLineChars="200"/>
        <w:jc w:val="left"/>
      </w:pPr>
      <w:r>
        <w:rPr>
          <w:rFonts w:hint="eastAsia" w:ascii="宋体" w:hAnsi="宋体" w:cs="宋体"/>
          <w:kern w:val="0"/>
          <w:sz w:val="18"/>
          <w:szCs w:val="18"/>
        </w:rPr>
        <w:t>感谢您购买新疆银行（“本行”）理财产品，请仔细阅读本《客户权益须知》，行使您在本业务项下的权益。</w:t>
      </w:r>
    </w:p>
    <w:p>
      <w:pPr>
        <w:widowControl/>
        <w:ind w:firstLine="361" w:firstLineChars="200"/>
        <w:jc w:val="left"/>
      </w:pPr>
      <w:r>
        <w:rPr>
          <w:rStyle w:val="6"/>
          <w:rFonts w:hint="eastAsia" w:ascii="宋体" w:hAnsi="宋体" w:cs="宋体"/>
          <w:kern w:val="0"/>
          <w:sz w:val="18"/>
          <w:szCs w:val="18"/>
        </w:rPr>
        <w:t>一、理财产品购买流程</w:t>
      </w:r>
    </w:p>
    <w:p>
      <w:pPr>
        <w:widowControl/>
        <w:ind w:firstLine="360" w:firstLineChars="200"/>
        <w:jc w:val="left"/>
      </w:pPr>
      <w:r>
        <w:rPr>
          <w:rFonts w:ascii="宋体" w:hAnsi="宋体" w:cs="宋体"/>
          <w:kern w:val="0"/>
          <w:sz w:val="18"/>
          <w:szCs w:val="18"/>
        </w:rPr>
        <w:t>1</w:t>
      </w:r>
      <w:r>
        <w:rPr>
          <w:rFonts w:hint="eastAsia" w:ascii="宋体" w:hAnsi="宋体" w:cs="宋体"/>
          <w:kern w:val="0"/>
          <w:sz w:val="18"/>
          <w:szCs w:val="18"/>
        </w:rPr>
        <w:t>、开立或持有新疆银行账户，该账户用于本理财产品的理财资金划转及兑付，您应确保持有本理财产品期间所指定账户不做销户。</w:t>
      </w:r>
    </w:p>
    <w:p>
      <w:pPr>
        <w:widowControl/>
        <w:ind w:firstLine="360" w:firstLineChars="200"/>
        <w:jc w:val="left"/>
      </w:pPr>
      <w:r>
        <w:rPr>
          <w:rFonts w:ascii="宋体" w:hAnsi="宋体" w:cs="宋体"/>
          <w:kern w:val="0"/>
          <w:sz w:val="18"/>
          <w:szCs w:val="18"/>
        </w:rPr>
        <w:t>2</w:t>
      </w:r>
      <w:r>
        <w:rPr>
          <w:rFonts w:hint="eastAsia" w:ascii="宋体" w:hAnsi="宋体" w:cs="宋体"/>
          <w:kern w:val="0"/>
          <w:sz w:val="18"/>
          <w:szCs w:val="18"/>
        </w:rPr>
        <w:t>、接受并完成本行对您的风险承受能力评估，并根据风险评估结果选择适合的产品。</w:t>
      </w:r>
    </w:p>
    <w:p>
      <w:pPr>
        <w:rPr>
          <w:rFonts w:ascii="宋体" w:hAnsi="宋体" w:cs="宋体"/>
          <w:kern w:val="0"/>
          <w:sz w:val="18"/>
          <w:szCs w:val="18"/>
        </w:rPr>
      </w:pPr>
      <w:r>
        <w:rPr>
          <w:rFonts w:hint="eastAsia" w:ascii="宋体" w:hAnsi="宋体" w:cs="宋体"/>
          <w:kern w:val="0"/>
          <w:sz w:val="18"/>
          <w:szCs w:val="18"/>
          <w:lang w:val="en-US" w:eastAsia="zh-CN"/>
        </w:rPr>
        <w:t xml:space="preserve">    </w:t>
      </w:r>
      <w:r>
        <w:rPr>
          <w:rFonts w:ascii="宋体" w:hAnsi="宋体" w:cs="宋体"/>
          <w:kern w:val="0"/>
          <w:sz w:val="18"/>
          <w:szCs w:val="18"/>
        </w:rPr>
        <w:t>3</w:t>
      </w:r>
      <w:r>
        <w:rPr>
          <w:rFonts w:hint="eastAsia" w:ascii="宋体" w:hAnsi="宋体" w:cs="宋体"/>
          <w:kern w:val="0"/>
          <w:sz w:val="18"/>
          <w:szCs w:val="18"/>
        </w:rPr>
        <w:t>、请仔细阅读《新疆银行人民币个人理财产品协议书》、《新疆银行人民币个人理财产品说明书》、《新疆银行人民币个人理财产品风险揭示书》、《客户权益须知》以及其他有关文件（如有），确认已同意相关内容、充分了解相关风险并无疑问和异议后，签署相关销售文件，并办理购买手续。</w:t>
      </w:r>
    </w:p>
    <w:p>
      <w:pPr>
        <w:widowControl/>
        <w:ind w:firstLine="360" w:firstLineChars="200"/>
        <w:jc w:val="left"/>
      </w:pPr>
      <w:r>
        <w:rPr>
          <w:rFonts w:ascii="宋体" w:hAnsi="宋体" w:cs="宋体"/>
          <w:kern w:val="0"/>
          <w:sz w:val="18"/>
          <w:szCs w:val="18"/>
        </w:rPr>
        <w:t>4</w:t>
      </w:r>
      <w:r>
        <w:rPr>
          <w:rFonts w:hint="eastAsia" w:ascii="宋体" w:hAnsi="宋体" w:cs="宋体"/>
          <w:kern w:val="0"/>
          <w:sz w:val="18"/>
          <w:szCs w:val="18"/>
        </w:rPr>
        <w:t>、本行营业网点或者电子银行（包括但不限于网上银行、电话银行和手机银行）均可办理理财产品的购买手续，详见《产品说明书》，但是对于具体理财产品，本行将根据产品风险等级和市场情况自行确定发售渠道。</w:t>
      </w:r>
    </w:p>
    <w:p>
      <w:pPr>
        <w:widowControl/>
        <w:ind w:firstLine="361" w:firstLineChars="200"/>
        <w:jc w:val="left"/>
      </w:pPr>
      <w:r>
        <w:rPr>
          <w:rStyle w:val="6"/>
          <w:rFonts w:hint="eastAsia" w:ascii="宋体" w:hAnsi="宋体" w:cs="宋体"/>
          <w:kern w:val="0"/>
          <w:sz w:val="18"/>
          <w:szCs w:val="18"/>
        </w:rPr>
        <w:t>二、客户风险承受能力评估</w:t>
      </w:r>
    </w:p>
    <w:p>
      <w:pPr>
        <w:widowControl/>
        <w:ind w:firstLine="360" w:firstLineChars="200"/>
        <w:jc w:val="left"/>
        <w:rPr>
          <w:rStyle w:val="6"/>
          <w:rFonts w:ascii="宋体" w:cs="宋体"/>
          <w:kern w:val="0"/>
          <w:sz w:val="18"/>
          <w:szCs w:val="18"/>
        </w:rPr>
      </w:pPr>
      <w:r>
        <w:rPr>
          <w:rFonts w:hint="eastAsia" w:ascii="宋体" w:hAnsi="宋体" w:cs="宋体"/>
          <w:kern w:val="0"/>
          <w:sz w:val="18"/>
          <w:szCs w:val="18"/>
        </w:rPr>
        <w:t>您首次购买本行理财产品前，需要在本行营业网点进行风险承受能力评估，填写《新疆银行个人客户风险承受能力评估问卷》，本行理财销售管理系统会记录客户身份信息及风险评估结果信息。该评估结果有效期一年，并将作为评价您是否适合购买理财产品的重要因素。您可以通过本行营业网点或网上银行进行风险承受能力持续评估。</w:t>
      </w:r>
      <w:r>
        <w:rPr>
          <w:rStyle w:val="6"/>
          <w:rFonts w:hint="eastAsia" w:ascii="宋体" w:hAnsi="宋体" w:cs="宋体"/>
          <w:kern w:val="0"/>
          <w:sz w:val="18"/>
          <w:szCs w:val="18"/>
        </w:rPr>
        <w:t>若发生可能影响您自身风险承受能力的情况，请您通过柜面或网上银行主动重新评估自身风险承受能力。</w:t>
      </w:r>
    </w:p>
    <w:p>
      <w:pPr>
        <w:ind w:firstLine="360" w:firstLineChars="200"/>
        <w:rPr>
          <w:rFonts w:ascii="宋体"/>
          <w:sz w:val="18"/>
          <w:szCs w:val="18"/>
        </w:rPr>
      </w:pPr>
      <w:r>
        <w:rPr>
          <w:rFonts w:hint="eastAsia" w:ascii="宋体" w:hAnsi="宋体"/>
          <w:sz w:val="18"/>
          <w:szCs w:val="18"/>
        </w:rPr>
        <w:t>本行客户风险承受能力评级从低到高包括</w:t>
      </w:r>
      <w:r>
        <w:rPr>
          <w:rFonts w:hint="eastAsia" w:ascii="宋体" w:hAnsi="宋体" w:cs="宋体"/>
          <w:kern w:val="0"/>
          <w:sz w:val="18"/>
          <w:szCs w:val="18"/>
        </w:rPr>
        <w:t>A1（保守型）、A2（稳健型）、A3（平衡型）、A4（成长型）、A5（进取型）五个等级，风险承受能力评级越高适合购买的理</w:t>
      </w:r>
      <w:r>
        <w:rPr>
          <w:rFonts w:hint="eastAsia" w:ascii="宋体" w:hAnsi="宋体"/>
          <w:sz w:val="18"/>
          <w:szCs w:val="18"/>
        </w:rPr>
        <w:t>财产品风险评级越高，适合购买的理财产品类型越丰富，客户风险承受能力风险评级类型与适合购买的理财产品的对应关系为：</w:t>
      </w:r>
    </w:p>
    <w:tbl>
      <w:tblPr>
        <w:tblStyle w:val="4"/>
        <w:tblW w:w="9634" w:type="dxa"/>
        <w:jc w:val="center"/>
        <w:tblLayout w:type="fixed"/>
        <w:tblCellMar>
          <w:top w:w="15" w:type="dxa"/>
          <w:left w:w="108" w:type="dxa"/>
          <w:bottom w:w="15" w:type="dxa"/>
          <w:right w:w="108" w:type="dxa"/>
        </w:tblCellMar>
      </w:tblPr>
      <w:tblGrid>
        <w:gridCol w:w="988"/>
        <w:gridCol w:w="1134"/>
        <w:gridCol w:w="5528"/>
        <w:gridCol w:w="1984"/>
      </w:tblGrid>
      <w:tr>
        <w:tblPrEx>
          <w:tblCellMar>
            <w:top w:w="15" w:type="dxa"/>
            <w:left w:w="108" w:type="dxa"/>
            <w:bottom w:w="15" w:type="dxa"/>
            <w:right w:w="108" w:type="dxa"/>
          </w:tblCellMar>
        </w:tblPrEx>
        <w:trPr>
          <w:trHeight w:val="836"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kern w:val="0"/>
                <w:sz w:val="18"/>
                <w:szCs w:val="18"/>
              </w:rPr>
            </w:pPr>
            <w:r>
              <w:rPr>
                <w:rFonts w:hint="eastAsia" w:ascii="宋体" w:hAnsi="宋体" w:cs="宋体"/>
                <w:kern w:val="0"/>
                <w:sz w:val="18"/>
                <w:szCs w:val="18"/>
              </w:rPr>
              <w:t>产品风险标识</w:t>
            </w:r>
          </w:p>
        </w:tc>
        <w:tc>
          <w:tcPr>
            <w:tcW w:w="113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产品风险评级</w:t>
            </w:r>
          </w:p>
        </w:tc>
        <w:tc>
          <w:tcPr>
            <w:tcW w:w="5528" w:type="dxa"/>
            <w:tcBorders>
              <w:top w:val="single" w:color="000000" w:sz="4" w:space="0"/>
              <w:left w:val="single" w:color="000000" w:sz="4" w:space="0"/>
              <w:bottom w:val="single" w:color="000000" w:sz="4" w:space="0"/>
              <w:right w:val="single" w:color="000000" w:sz="4" w:space="0"/>
            </w:tcBorders>
            <w:vAlign w:val="center"/>
          </w:tcPr>
          <w:p>
            <w:pPr>
              <w:ind w:firstLine="360" w:firstLineChars="200"/>
              <w:jc w:val="center"/>
              <w:rPr>
                <w:rFonts w:hint="eastAsia" w:ascii="宋体" w:hAnsi="宋体" w:cs="宋体"/>
                <w:kern w:val="0"/>
                <w:sz w:val="18"/>
                <w:szCs w:val="18"/>
              </w:rPr>
            </w:pPr>
            <w:r>
              <w:rPr>
                <w:rFonts w:hint="eastAsia" w:ascii="宋体" w:hAnsi="宋体" w:cs="宋体"/>
                <w:kern w:val="0"/>
                <w:sz w:val="18"/>
                <w:szCs w:val="18"/>
              </w:rPr>
              <w:t>产品风险及收益特征描述</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适用风险评级客群</w:t>
            </w:r>
          </w:p>
        </w:tc>
      </w:tr>
      <w:tr>
        <w:tblPrEx>
          <w:tblCellMar>
            <w:top w:w="15" w:type="dxa"/>
            <w:left w:w="108" w:type="dxa"/>
            <w:bottom w:w="15" w:type="dxa"/>
            <w:right w:w="108" w:type="dxa"/>
          </w:tblCellMar>
        </w:tblPrEx>
        <w:trPr>
          <w:trHeight w:val="1035"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R1</w:t>
            </w:r>
          </w:p>
        </w:tc>
        <w:tc>
          <w:tcPr>
            <w:tcW w:w="113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产品总体风险程度低，收益波动小，产品本金安全性高，收益不能实现的可能性很小，产品本金出现损失的可能性小。</w:t>
            </w:r>
          </w:p>
        </w:tc>
        <w:tc>
          <w:tcPr>
            <w:tcW w:w="1984"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保守型、稳健型</w:t>
            </w:r>
          </w:p>
          <w:p>
            <w:pPr>
              <w:ind w:firstLine="360" w:firstLineChars="200"/>
              <w:rPr>
                <w:rFonts w:hint="eastAsia" w:ascii="宋体" w:hAnsi="宋体" w:cs="宋体"/>
                <w:kern w:val="0"/>
                <w:sz w:val="18"/>
                <w:szCs w:val="18"/>
              </w:rPr>
            </w:pPr>
            <w:r>
              <w:rPr>
                <w:rFonts w:hint="eastAsia" w:ascii="宋体" w:hAnsi="宋体" w:cs="宋体"/>
                <w:kern w:val="0"/>
                <w:sz w:val="18"/>
                <w:szCs w:val="18"/>
              </w:rPr>
              <w:t>平衡型、成长型</w:t>
            </w:r>
          </w:p>
          <w:p>
            <w:pPr>
              <w:ind w:firstLine="360" w:firstLineChars="200"/>
              <w:rPr>
                <w:rFonts w:hint="eastAsia" w:ascii="宋体" w:hAnsi="宋体" w:cs="宋体"/>
                <w:kern w:val="0"/>
                <w:sz w:val="18"/>
                <w:szCs w:val="18"/>
              </w:rPr>
            </w:pPr>
            <w:r>
              <w:rPr>
                <w:rFonts w:hint="eastAsia" w:ascii="宋体" w:hAnsi="宋体" w:cs="宋体"/>
                <w:kern w:val="0"/>
                <w:sz w:val="18"/>
                <w:szCs w:val="18"/>
              </w:rPr>
              <w:t>进取型</w:t>
            </w:r>
          </w:p>
        </w:tc>
      </w:tr>
      <w:tr>
        <w:tblPrEx>
          <w:tblCellMar>
            <w:top w:w="15" w:type="dxa"/>
            <w:left w:w="108" w:type="dxa"/>
            <w:bottom w:w="15" w:type="dxa"/>
            <w:right w:w="108" w:type="dxa"/>
          </w:tblCellMar>
        </w:tblPrEx>
        <w:trPr>
          <w:trHeight w:val="908"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R2</w:t>
            </w:r>
          </w:p>
        </w:tc>
        <w:tc>
          <w:tcPr>
            <w:tcW w:w="113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中低风险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产品总体风险程度较低，收益波动较小，虽然存在一些可能对产品本金和收益安全产生不利影响的因素，但产品本金出现损失的可能性较小。</w:t>
            </w:r>
          </w:p>
        </w:tc>
        <w:tc>
          <w:tcPr>
            <w:tcW w:w="1984"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稳健型、平衡型</w:t>
            </w:r>
          </w:p>
          <w:p>
            <w:pPr>
              <w:ind w:firstLine="360" w:firstLineChars="200"/>
              <w:rPr>
                <w:rFonts w:hint="eastAsia" w:ascii="宋体" w:hAnsi="宋体" w:cs="宋体"/>
                <w:kern w:val="0"/>
                <w:sz w:val="18"/>
                <w:szCs w:val="18"/>
              </w:rPr>
            </w:pPr>
            <w:r>
              <w:rPr>
                <w:rFonts w:hint="eastAsia" w:ascii="宋体" w:hAnsi="宋体" w:cs="宋体"/>
                <w:kern w:val="0"/>
                <w:sz w:val="18"/>
                <w:szCs w:val="18"/>
              </w:rPr>
              <w:t>成长型、进取型</w:t>
            </w:r>
          </w:p>
        </w:tc>
      </w:tr>
      <w:tr>
        <w:tblPrEx>
          <w:tblCellMar>
            <w:top w:w="15" w:type="dxa"/>
            <w:left w:w="108" w:type="dxa"/>
            <w:bottom w:w="15" w:type="dxa"/>
            <w:right w:w="108" w:type="dxa"/>
          </w:tblCellMar>
        </w:tblPrEx>
        <w:trPr>
          <w:trHeight w:val="616"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R3</w:t>
            </w:r>
          </w:p>
        </w:tc>
        <w:tc>
          <w:tcPr>
            <w:tcW w:w="113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中等风险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产品总体风险程度适中，收益存在一定的波动，产品本金出现损失的可能性不容忽视。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平衡型、成长型</w:t>
            </w:r>
          </w:p>
          <w:p>
            <w:pPr>
              <w:ind w:firstLine="360" w:firstLineChars="200"/>
              <w:rPr>
                <w:rFonts w:hint="eastAsia" w:ascii="宋体" w:hAnsi="宋体" w:cs="宋体"/>
                <w:kern w:val="0"/>
                <w:sz w:val="18"/>
                <w:szCs w:val="18"/>
              </w:rPr>
            </w:pPr>
            <w:r>
              <w:rPr>
                <w:rFonts w:hint="eastAsia" w:ascii="宋体" w:hAnsi="宋体" w:cs="宋体"/>
                <w:kern w:val="0"/>
                <w:sz w:val="18"/>
                <w:szCs w:val="18"/>
              </w:rPr>
              <w:t>进取型</w:t>
            </w:r>
          </w:p>
        </w:tc>
      </w:tr>
      <w:tr>
        <w:tblPrEx>
          <w:tblCellMar>
            <w:top w:w="15" w:type="dxa"/>
            <w:left w:w="108" w:type="dxa"/>
            <w:bottom w:w="15" w:type="dxa"/>
            <w:right w:w="108" w:type="dxa"/>
          </w:tblCellMar>
        </w:tblPrEx>
        <w:trPr>
          <w:trHeight w:val="554"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R4</w:t>
            </w:r>
          </w:p>
        </w:tc>
        <w:tc>
          <w:tcPr>
            <w:tcW w:w="113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较高风险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产品总体风险程度较高，收益波动较明显，产品本金出现损失的可能性高。</w:t>
            </w:r>
          </w:p>
        </w:tc>
        <w:tc>
          <w:tcPr>
            <w:tcW w:w="1984"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成长型、进取型</w:t>
            </w:r>
          </w:p>
        </w:tc>
      </w:tr>
      <w:tr>
        <w:tblPrEx>
          <w:tblCellMar>
            <w:top w:w="15" w:type="dxa"/>
            <w:left w:w="108" w:type="dxa"/>
            <w:bottom w:w="15" w:type="dxa"/>
            <w:right w:w="108" w:type="dxa"/>
          </w:tblCellMar>
        </w:tblPrEx>
        <w:trPr>
          <w:trHeight w:val="375" w:hRule="atLeast"/>
          <w:jc w:val="center"/>
        </w:trPr>
        <w:tc>
          <w:tcPr>
            <w:tcW w:w="98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R5</w:t>
            </w:r>
          </w:p>
        </w:tc>
        <w:tc>
          <w:tcPr>
            <w:tcW w:w="113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高风险</w:t>
            </w:r>
          </w:p>
        </w:tc>
        <w:tc>
          <w:tcPr>
            <w:tcW w:w="5528"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产品总体风险程度高，收益波动明显，产品本金出现损失的可能性很高，产品本金出现全部损失的可能性不容忽视。</w:t>
            </w:r>
          </w:p>
        </w:tc>
        <w:tc>
          <w:tcPr>
            <w:tcW w:w="1984"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进取型</w:t>
            </w:r>
          </w:p>
        </w:tc>
      </w:tr>
    </w:tbl>
    <w:p>
      <w:pPr>
        <w:widowControl/>
        <w:ind w:firstLine="360" w:firstLineChars="200"/>
        <w:jc w:val="left"/>
        <w:rPr>
          <w:rFonts w:ascii="宋体"/>
        </w:rPr>
      </w:pPr>
      <w:r>
        <w:rPr>
          <w:rFonts w:hint="eastAsia" w:ascii="宋体" w:hAnsi="宋体" w:cs="宋体"/>
          <w:kern w:val="0"/>
          <w:sz w:val="18"/>
          <w:szCs w:val="18"/>
        </w:rPr>
        <w:t>三、理财产品的信息披露将通过新疆银行各营业网点、新疆银行网站（</w:t>
      </w:r>
      <w:r>
        <w:rPr>
          <w:rFonts w:ascii="宋体" w:hAnsi="宋体" w:cs="宋体"/>
          <w:kern w:val="0"/>
          <w:sz w:val="18"/>
          <w:szCs w:val="18"/>
        </w:rPr>
        <w:t>www.xjbank.com</w:t>
      </w:r>
      <w:r>
        <w:rPr>
          <w:rFonts w:hint="eastAsia" w:ascii="宋体" w:hAnsi="宋体" w:cs="宋体"/>
          <w:kern w:val="0"/>
          <w:sz w:val="18"/>
          <w:szCs w:val="18"/>
        </w:rPr>
        <w:t>）、新疆银行官方微信等信息渠道进行，具体方式、渠道及频率以《产品说明书》中“信息披露”约定为准</w:t>
      </w:r>
      <w:r>
        <w:rPr>
          <w:rFonts w:hint="eastAsia" w:ascii="宋体" w:hAnsi="宋体" w:cs="仿宋_GB2312"/>
          <w:kern w:val="0"/>
          <w:sz w:val="18"/>
          <w:szCs w:val="18"/>
        </w:rPr>
        <w:t>。</w:t>
      </w:r>
    </w:p>
    <w:p>
      <w:pPr>
        <w:widowControl/>
        <w:ind w:firstLine="360" w:firstLineChars="200"/>
        <w:jc w:val="left"/>
        <w:rPr>
          <w:rFonts w:ascii="宋体" w:cs="宋体"/>
          <w:kern w:val="0"/>
          <w:sz w:val="18"/>
          <w:szCs w:val="18"/>
        </w:rPr>
      </w:pPr>
      <w:r>
        <w:rPr>
          <w:rFonts w:hint="eastAsia" w:ascii="宋体" w:hAnsi="宋体" w:cs="宋体"/>
          <w:kern w:val="0"/>
          <w:sz w:val="18"/>
          <w:szCs w:val="18"/>
        </w:rPr>
        <w:t>四、您对本理财产品有任何意见或异议，可反馈至本行营业网点。</w:t>
      </w:r>
      <w:r>
        <w:rPr>
          <w:rFonts w:ascii="宋体" w:cs="宋体"/>
          <w:kern w:val="0"/>
          <w:sz w:val="18"/>
          <w:szCs w:val="18"/>
        </w:rPr>
        <w:t> </w:t>
      </w:r>
    </w:p>
    <w:p>
      <w:pPr>
        <w:widowControl/>
        <w:ind w:firstLine="360" w:firstLineChars="200"/>
        <w:jc w:val="left"/>
        <w:rPr>
          <w:rFonts w:ascii="宋体"/>
        </w:rPr>
      </w:pPr>
      <w:r>
        <w:rPr>
          <w:rFonts w:hint="eastAsia" w:ascii="宋体" w:cs="宋体"/>
          <w:kern w:val="0"/>
          <w:sz w:val="18"/>
          <w:szCs w:val="18"/>
          <w:lang w:val="en-US" w:eastAsia="zh-CN"/>
        </w:rPr>
        <w:t>五、根据监管要求，</w:t>
      </w:r>
      <w:r>
        <w:rPr>
          <w:rFonts w:hint="eastAsia" w:ascii="宋体" w:hAnsi="宋体" w:cs="宋体"/>
          <w:kern w:val="0"/>
          <w:sz w:val="18"/>
          <w:szCs w:val="18"/>
          <w:lang w:val="en-US" w:eastAsia="zh-CN"/>
        </w:rPr>
        <w:t>我行将向监管机构如实报送您的身份信息及产品持有信息、产品存续期信息，请您知悉。</w:t>
      </w:r>
      <w:r>
        <w:rPr>
          <w:rFonts w:ascii="宋体" w:cs="宋体"/>
          <w:kern w:val="0"/>
          <w:sz w:val="18"/>
          <w:szCs w:val="18"/>
        </w:rPr>
        <w:t> </w:t>
      </w:r>
    </w:p>
    <w:p>
      <w:pPr>
        <w:widowControl/>
        <w:jc w:val="center"/>
        <w:rPr>
          <w:rFonts w:ascii="宋体"/>
        </w:rPr>
      </w:pPr>
      <w:r>
        <w:rPr>
          <w:rFonts w:ascii="宋体" w:hAnsi="宋体" w:cs="宋体"/>
          <w:kern w:val="0"/>
          <w:sz w:val="18"/>
          <w:szCs w:val="18"/>
        </w:rPr>
        <w:t xml:space="preserve">                                                                        </w:t>
      </w:r>
      <w:r>
        <w:rPr>
          <w:rFonts w:hint="eastAsia" w:ascii="宋体" w:hAnsi="宋体" w:cs="宋体"/>
          <w:kern w:val="0"/>
          <w:sz w:val="18"/>
          <w:szCs w:val="18"/>
        </w:rPr>
        <w:t>新疆银行股份有限公司</w:t>
      </w:r>
    </w:p>
    <w:sectPr>
      <w:headerReference r:id="rId3" w:type="default"/>
      <w:pgSz w:w="11906" w:h="16838"/>
      <w:pgMar w:top="1383" w:right="1576" w:bottom="1383"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E36"/>
    <w:rsid w:val="00115954"/>
    <w:rsid w:val="0017033A"/>
    <w:rsid w:val="0022449B"/>
    <w:rsid w:val="003A21CD"/>
    <w:rsid w:val="004351FD"/>
    <w:rsid w:val="004A6CFA"/>
    <w:rsid w:val="004C3F9A"/>
    <w:rsid w:val="004F0EAF"/>
    <w:rsid w:val="004F145F"/>
    <w:rsid w:val="0054191D"/>
    <w:rsid w:val="00563F34"/>
    <w:rsid w:val="005D30C2"/>
    <w:rsid w:val="0061665A"/>
    <w:rsid w:val="00630761"/>
    <w:rsid w:val="007820A5"/>
    <w:rsid w:val="00945DB2"/>
    <w:rsid w:val="0099439C"/>
    <w:rsid w:val="00994AFC"/>
    <w:rsid w:val="00A33A8F"/>
    <w:rsid w:val="00A4087F"/>
    <w:rsid w:val="00AC2828"/>
    <w:rsid w:val="00B006B8"/>
    <w:rsid w:val="00B32E36"/>
    <w:rsid w:val="00C14C27"/>
    <w:rsid w:val="00C4059F"/>
    <w:rsid w:val="00D52A3C"/>
    <w:rsid w:val="00DF1176"/>
    <w:rsid w:val="00EA07AD"/>
    <w:rsid w:val="00F42C2E"/>
    <w:rsid w:val="00FD0139"/>
    <w:rsid w:val="00FD0CC8"/>
    <w:rsid w:val="0B6A30F7"/>
    <w:rsid w:val="0C970146"/>
    <w:rsid w:val="10A42F84"/>
    <w:rsid w:val="1AE57D39"/>
    <w:rsid w:val="23B91591"/>
    <w:rsid w:val="24EE2B54"/>
    <w:rsid w:val="30F540F0"/>
    <w:rsid w:val="33487606"/>
    <w:rsid w:val="334A37D1"/>
    <w:rsid w:val="375471CA"/>
    <w:rsid w:val="3F3E21A5"/>
    <w:rsid w:val="48931468"/>
    <w:rsid w:val="51333575"/>
    <w:rsid w:val="566F7239"/>
    <w:rsid w:val="5A6D060E"/>
    <w:rsid w:val="5E02135D"/>
    <w:rsid w:val="6718355B"/>
    <w:rsid w:val="67D868CA"/>
    <w:rsid w:val="6D5F4E8E"/>
    <w:rsid w:val="6D6E23D8"/>
    <w:rsid w:val="7C3B5F91"/>
    <w:rsid w:val="7D2A33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rFonts w:cs="Times New Roman"/>
      <w:b/>
      <w:bCs/>
    </w:rPr>
  </w:style>
  <w:style w:type="character" w:customStyle="1" w:styleId="7">
    <w:name w:val="页眉 Char"/>
    <w:basedOn w:val="5"/>
    <w:link w:val="3"/>
    <w:semiHidden/>
    <w:qFormat/>
    <w:locked/>
    <w:uiPriority w:val="99"/>
    <w:rPr>
      <w:rFonts w:ascii="Times New Roman" w:hAnsi="Times New Roman" w:eastAsia="宋体" w:cs="Times New Roman"/>
      <w:sz w:val="18"/>
      <w:szCs w:val="18"/>
    </w:rPr>
  </w:style>
  <w:style w:type="character" w:customStyle="1" w:styleId="8">
    <w:name w:val="页脚 Char"/>
    <w:basedOn w:val="5"/>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182</Words>
  <Characters>1039</Characters>
  <Lines>8</Lines>
  <Paragraphs>2</Paragraphs>
  <TotalTime>0</TotalTime>
  <ScaleCrop>false</ScaleCrop>
  <LinksUpToDate>false</LinksUpToDate>
  <CharactersWithSpaces>1219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2017-11-17T09:52:00Z</dcterms:created>
  <dc:creator>曹文芳</dc:creator>
  <cp:lastModifiedBy>曹旭红</cp:lastModifiedBy>
  <cp:lastPrinted>2018-10-25T04:11:00Z</cp:lastPrinted>
  <dcterms:modified xsi:type="dcterms:W3CDTF">2020-08-12T00:51:21Z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