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11"/>
          <w:rFonts w:hint="eastAsia" w:ascii="黑体" w:hAnsi="黑体" w:eastAsia="黑体" w:cs="宋体"/>
          <w:b w:val="0"/>
          <w:kern w:val="0"/>
          <w:sz w:val="28"/>
          <w:szCs w:val="28"/>
        </w:rPr>
      </w:pPr>
      <w:r>
        <w:rPr>
          <w:rStyle w:val="11"/>
          <w:rFonts w:hint="eastAsia" w:ascii="黑体" w:hAnsi="黑体" w:eastAsia="黑体" w:cs="宋体"/>
          <w:b w:val="0"/>
          <w:kern w:val="0"/>
          <w:sz w:val="28"/>
          <w:szCs w:val="28"/>
        </w:rPr>
        <w:t>新疆银行“金胡杨·</w:t>
      </w:r>
      <w:r>
        <w:rPr>
          <w:rStyle w:val="11"/>
          <w:rFonts w:hint="eastAsia" w:ascii="黑体" w:hAnsi="黑体" w:eastAsia="黑体" w:cs="宋体"/>
          <w:b w:val="0"/>
          <w:kern w:val="0"/>
          <w:sz w:val="28"/>
          <w:szCs w:val="28"/>
          <w:lang w:eastAsia="zh-CN"/>
        </w:rPr>
        <w:t>定开新</w:t>
      </w:r>
      <w:r>
        <w:rPr>
          <w:rStyle w:val="11"/>
          <w:rFonts w:hint="eastAsia" w:ascii="黑体" w:hAnsi="黑体" w:eastAsia="黑体" w:cs="宋体"/>
          <w:b w:val="0"/>
          <w:kern w:val="0"/>
          <w:sz w:val="28"/>
          <w:szCs w:val="28"/>
        </w:rPr>
        <w:t>”</w:t>
      </w:r>
      <w:r>
        <w:rPr>
          <w:rStyle w:val="11"/>
          <w:rFonts w:hint="eastAsia" w:ascii="黑体" w:hAnsi="黑体" w:eastAsia="黑体" w:cs="宋体"/>
          <w:b w:val="0"/>
          <w:kern w:val="0"/>
          <w:sz w:val="28"/>
          <w:szCs w:val="28"/>
          <w:lang w:eastAsia="zh-CN"/>
        </w:rPr>
        <w:t>（</w:t>
      </w:r>
      <w:r>
        <w:rPr>
          <w:rStyle w:val="11"/>
          <w:rFonts w:hint="eastAsia" w:ascii="黑体" w:hAnsi="黑体" w:eastAsia="黑体" w:cs="宋体"/>
          <w:b w:val="0"/>
          <w:kern w:val="0"/>
          <w:sz w:val="28"/>
          <w:szCs w:val="28"/>
          <w:lang w:val="en-US" w:eastAsia="zh-CN"/>
        </w:rPr>
        <w:t>35天）周期</w:t>
      </w:r>
      <w:r>
        <w:rPr>
          <w:rStyle w:val="11"/>
          <w:rFonts w:hint="eastAsia" w:ascii="黑体" w:hAnsi="黑体" w:eastAsia="黑体" w:cs="宋体"/>
          <w:b w:val="0"/>
          <w:kern w:val="0"/>
          <w:sz w:val="28"/>
          <w:szCs w:val="28"/>
        </w:rPr>
        <w:t>开放</w:t>
      </w:r>
      <w:r>
        <w:rPr>
          <w:rStyle w:val="11"/>
          <w:rFonts w:hint="eastAsia" w:ascii="黑体" w:hAnsi="黑体" w:eastAsia="黑体" w:cs="宋体"/>
          <w:b w:val="0"/>
          <w:kern w:val="0"/>
          <w:sz w:val="28"/>
          <w:szCs w:val="28"/>
          <w:lang w:eastAsia="zh-CN"/>
        </w:rPr>
        <w:t>式</w:t>
      </w:r>
      <w:r>
        <w:rPr>
          <w:rStyle w:val="11"/>
          <w:rFonts w:hint="eastAsia" w:ascii="黑体" w:hAnsi="黑体" w:eastAsia="黑体" w:cs="宋体"/>
          <w:b w:val="0"/>
          <w:kern w:val="0"/>
          <w:sz w:val="28"/>
          <w:szCs w:val="28"/>
        </w:rPr>
        <w:t>净值型人民币理财产品说明书</w:t>
      </w:r>
    </w:p>
    <w:p>
      <w:pPr>
        <w:widowControl/>
        <w:spacing w:line="400" w:lineRule="exact"/>
        <w:jc w:val="center"/>
        <w:rPr>
          <w:rStyle w:val="11"/>
          <w:rFonts w:hint="eastAsia" w:ascii="黑体" w:hAnsi="黑体" w:eastAsia="黑体" w:cs="宋体"/>
          <w:b w:val="0"/>
          <w:kern w:val="0"/>
          <w:sz w:val="28"/>
          <w:szCs w:val="28"/>
        </w:rPr>
      </w:pPr>
      <w:r>
        <w:rPr>
          <w:rFonts w:hint="eastAsia" w:cs="宋体" w:asciiTheme="minorEastAsia" w:hAnsiTheme="minorEastAsia" w:eastAsiaTheme="minorEastAsia"/>
          <w:kern w:val="0"/>
          <w:sz w:val="18"/>
          <w:szCs w:val="18"/>
          <w:lang w:eastAsia="zh-CN"/>
        </w:rPr>
        <w:drawing>
          <wp:anchor distT="0" distB="0" distL="114300" distR="114300" simplePos="0" relativeHeight="251670528" behindDoc="1" locked="0" layoutInCell="1" allowOverlap="1">
            <wp:simplePos x="0" y="0"/>
            <wp:positionH relativeFrom="column">
              <wp:posOffset>-680085</wp:posOffset>
            </wp:positionH>
            <wp:positionV relativeFrom="paragraph">
              <wp:posOffset>-226695</wp:posOffset>
            </wp:positionV>
            <wp:extent cx="7560310" cy="9756775"/>
            <wp:effectExtent l="0" t="0" r="2540" b="15875"/>
            <wp:wrapNone/>
            <wp:docPr id="11" name="图片 11"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Style w:val="11"/>
          <w:rFonts w:hint="eastAsia" w:ascii="宋体" w:hAnsi="宋体" w:cs="宋体"/>
          <w:kern w:val="0"/>
          <w:sz w:val="18"/>
          <w:szCs w:val="18"/>
        </w:rPr>
        <w:t>理财产品过往业绩不代表其未来表现，不等于理财产品实际收益</w:t>
      </w:r>
    </w:p>
    <w:p>
      <w:pPr>
        <w:widowControl/>
        <w:spacing w:line="400" w:lineRule="exact"/>
        <w:jc w:val="center"/>
        <w:rPr>
          <w:rStyle w:val="11"/>
          <w:rFonts w:ascii="宋体" w:hAnsi="宋体" w:cs="宋体"/>
          <w:kern w:val="0"/>
          <w:sz w:val="18"/>
          <w:szCs w:val="18"/>
        </w:rPr>
      </w:pPr>
      <w:r>
        <w:rPr>
          <w:rStyle w:val="11"/>
          <w:rFonts w:hint="eastAsia" w:ascii="宋体" w:hAnsi="宋体" w:cs="宋体"/>
          <w:kern w:val="0"/>
          <w:sz w:val="18"/>
          <w:szCs w:val="18"/>
        </w:rPr>
        <w:t>理财非存款、产品有风险、投资须谨慎</w:t>
      </w:r>
    </w:p>
    <w:p>
      <w:pPr>
        <w:widowControl/>
        <w:spacing w:line="400" w:lineRule="exact"/>
        <w:rPr>
          <w:rStyle w:val="11"/>
          <w:rFonts w:ascii="华文仿宋" w:hAnsi="华文仿宋" w:eastAsia="华文仿宋" w:cs="华文仿宋"/>
          <w:kern w:val="0"/>
          <w:sz w:val="24"/>
          <w:szCs w:val="24"/>
        </w:rPr>
      </w:pPr>
      <w:r>
        <w:rPr>
          <w:rStyle w:val="11"/>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w</w:t>
      </w:r>
      <w:r>
        <w:rPr>
          <w:rFonts w:hint="eastAsia" w:ascii="华文仿宋" w:hAnsi="华文仿宋" w:eastAsia="华文仿宋" w:cs="华文仿宋"/>
          <w:color w:val="000000" w:themeColor="text1"/>
          <w:sz w:val="24"/>
          <w:szCs w:val="24"/>
          <w14:textFill>
            <w14:solidFill>
              <w14:schemeClr w14:val="tx1"/>
            </w14:solidFill>
          </w14:textFill>
        </w:rPr>
        <w:t>ealth.com.cn)”查询产品信息。</w:t>
      </w:r>
    </w:p>
    <w:p>
      <w:pPr>
        <w:widowControl/>
        <w:spacing w:line="400" w:lineRule="exact"/>
        <w:rPr>
          <w:rStyle w:val="11"/>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11"/>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7"/>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7"/>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11"/>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11"/>
                <w:rFonts w:hint="eastAsia" w:ascii="华文仿宋" w:hAnsi="华文仿宋" w:eastAsia="华文仿宋" w:cs="华文仿宋"/>
                <w:b w:val="0"/>
                <w:bCs w:val="0"/>
                <w:kern w:val="0"/>
                <w:sz w:val="24"/>
                <w:szCs w:val="24"/>
              </w:rPr>
              <w:t>“</w:t>
            </w:r>
            <w:r>
              <w:rPr>
                <w:rFonts w:hint="eastAsia" w:cs="宋体" w:asciiTheme="minorEastAsia" w:hAnsiTheme="minorEastAsia" w:eastAsiaTheme="minorEastAsia"/>
                <w:kern w:val="0"/>
                <w:sz w:val="18"/>
                <w:szCs w:val="18"/>
                <w:lang w:eastAsia="zh-CN"/>
              </w:rPr>
              <w:drawing>
                <wp:anchor distT="0" distB="0" distL="114300" distR="114300" simplePos="0" relativeHeight="251682816" behindDoc="1" locked="0" layoutInCell="1" allowOverlap="1">
                  <wp:simplePos x="0" y="0"/>
                  <wp:positionH relativeFrom="column">
                    <wp:posOffset>-1895475</wp:posOffset>
                  </wp:positionH>
                  <wp:positionV relativeFrom="paragraph">
                    <wp:posOffset>-751840</wp:posOffset>
                  </wp:positionV>
                  <wp:extent cx="7560310" cy="9756775"/>
                  <wp:effectExtent l="0" t="0" r="2540" b="15875"/>
                  <wp:wrapNone/>
                  <wp:docPr id="2" name="图片 2"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Style w:val="11"/>
                <w:rFonts w:hint="eastAsia" w:ascii="华文仿宋" w:hAnsi="华文仿宋" w:eastAsia="华文仿宋" w:cs="华文仿宋"/>
                <w:b w:val="0"/>
                <w:bCs w:val="0"/>
                <w:kern w:val="0"/>
                <w:sz w:val="24"/>
                <w:szCs w:val="24"/>
              </w:rPr>
              <w:t>金胡杨·</w:t>
            </w:r>
            <w:r>
              <w:rPr>
                <w:rStyle w:val="11"/>
                <w:rFonts w:hint="eastAsia" w:ascii="华文仿宋" w:hAnsi="华文仿宋" w:eastAsia="华文仿宋" w:cs="华文仿宋"/>
                <w:b w:val="0"/>
                <w:bCs w:val="0"/>
                <w:kern w:val="0"/>
                <w:sz w:val="24"/>
                <w:szCs w:val="24"/>
                <w:lang w:eastAsia="zh-CN"/>
              </w:rPr>
              <w:t>定开新</w:t>
            </w:r>
            <w:r>
              <w:rPr>
                <w:rStyle w:val="11"/>
                <w:rFonts w:hint="eastAsia" w:ascii="华文仿宋" w:hAnsi="华文仿宋" w:eastAsia="华文仿宋" w:cs="华文仿宋"/>
                <w:b w:val="0"/>
                <w:bCs w:val="0"/>
                <w:kern w:val="0"/>
                <w:sz w:val="24"/>
                <w:szCs w:val="24"/>
              </w:rPr>
              <w:t>”</w:t>
            </w:r>
            <w:r>
              <w:rPr>
                <w:rStyle w:val="11"/>
                <w:rFonts w:hint="eastAsia" w:ascii="华文仿宋" w:hAnsi="华文仿宋" w:eastAsia="华文仿宋" w:cs="华文仿宋"/>
                <w:b w:val="0"/>
                <w:bCs w:val="0"/>
                <w:kern w:val="0"/>
                <w:sz w:val="24"/>
                <w:szCs w:val="24"/>
                <w:lang w:eastAsia="zh-CN"/>
              </w:rPr>
              <w:t>（</w:t>
            </w:r>
            <w:r>
              <w:rPr>
                <w:rStyle w:val="11"/>
                <w:rFonts w:hint="eastAsia" w:ascii="华文仿宋" w:hAnsi="华文仿宋" w:eastAsia="华文仿宋" w:cs="华文仿宋"/>
                <w:b w:val="0"/>
                <w:bCs w:val="0"/>
                <w:kern w:val="0"/>
                <w:sz w:val="24"/>
                <w:szCs w:val="24"/>
                <w:lang w:val="en-US" w:eastAsia="zh-CN"/>
              </w:rPr>
              <w:t>35天）周期</w:t>
            </w:r>
            <w:r>
              <w:rPr>
                <w:rStyle w:val="11"/>
                <w:rFonts w:hint="eastAsia" w:ascii="华文仿宋" w:hAnsi="华文仿宋" w:eastAsia="华文仿宋" w:cs="华文仿宋"/>
                <w:b w:val="0"/>
                <w:bCs w:val="0"/>
                <w:kern w:val="0"/>
                <w:sz w:val="24"/>
                <w:szCs w:val="24"/>
              </w:rPr>
              <w:t>开放</w:t>
            </w:r>
            <w:r>
              <w:rPr>
                <w:rStyle w:val="11"/>
                <w:rFonts w:hint="eastAsia" w:ascii="华文仿宋" w:hAnsi="华文仿宋" w:eastAsia="华文仿宋" w:cs="华文仿宋"/>
                <w:b w:val="0"/>
                <w:bCs w:val="0"/>
                <w:kern w:val="0"/>
                <w:sz w:val="24"/>
                <w:szCs w:val="24"/>
                <w:lang w:eastAsia="zh-CN"/>
              </w:rPr>
              <w:t>式</w:t>
            </w:r>
            <w:r>
              <w:rPr>
                <w:rStyle w:val="11"/>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Style w:val="11"/>
                <w:rFonts w:hint="eastAsia" w:ascii="华文仿宋" w:hAnsi="华文仿宋" w:eastAsia="华文仿宋" w:cs="华文仿宋"/>
                <w:b w:val="0"/>
                <w:bCs w:val="0"/>
                <w:kern w:val="0"/>
                <w:sz w:val="24"/>
                <w:szCs w:val="24"/>
              </w:rPr>
              <w:t xml:space="preserve">C1364319000046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11"/>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12月04</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12</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09</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12月10</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w:t>
            </w:r>
            <w:r>
              <w:rPr>
                <w:rFonts w:hint="eastAsia" w:ascii="华文仿宋" w:hAnsi="华文仿宋" w:eastAsia="华文仿宋" w:cs="华文仿宋"/>
                <w:color w:val="auto"/>
                <w:kern w:val="0"/>
                <w:sz w:val="24"/>
                <w:szCs w:val="24"/>
                <w:highlight w:val="none"/>
                <w:lang w:val="en-US" w:eastAsia="zh-CN"/>
              </w:rPr>
              <w:t>35天开放申购赎回，</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14</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360" w:firstLineChars="200"/>
              <w:jc w:val="left"/>
              <w:rPr>
                <w:rFonts w:ascii="华文仿宋" w:hAnsi="华文仿宋" w:eastAsia="华文仿宋" w:cs="华文仿宋"/>
                <w:color w:val="auto"/>
                <w:kern w:val="0"/>
                <w:sz w:val="24"/>
                <w:szCs w:val="24"/>
                <w:highlight w:val="none"/>
              </w:rPr>
            </w:pPr>
            <w:r>
              <w:rPr>
                <w:rFonts w:hint="eastAsia" w:cs="宋体" w:asciiTheme="minorEastAsia" w:hAnsiTheme="minorEastAsia" w:eastAsiaTheme="minorEastAsia"/>
                <w:kern w:val="0"/>
                <w:sz w:val="18"/>
                <w:szCs w:val="18"/>
                <w:lang w:eastAsia="zh-CN"/>
              </w:rPr>
              <w:drawing>
                <wp:anchor distT="0" distB="0" distL="114300" distR="114300" simplePos="0" relativeHeight="251695104" behindDoc="1" locked="0" layoutInCell="1" allowOverlap="1">
                  <wp:simplePos x="0" y="0"/>
                  <wp:positionH relativeFrom="column">
                    <wp:posOffset>-1895475</wp:posOffset>
                  </wp:positionH>
                  <wp:positionV relativeFrom="paragraph">
                    <wp:posOffset>20955</wp:posOffset>
                  </wp:positionV>
                  <wp:extent cx="7560310" cy="9756775"/>
                  <wp:effectExtent l="0" t="0" r="2540" b="15875"/>
                  <wp:wrapNone/>
                  <wp:docPr id="4" name="图片 4"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3.75%</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3.75</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3.7</w:t>
            </w:r>
            <w:bookmarkStart w:id="0" w:name="_GoBack"/>
            <w:bookmarkEnd w:id="0"/>
            <w:r>
              <w:rPr>
                <w:rFonts w:hint="eastAsia" w:ascii="华文仿宋" w:hAnsi="华文仿宋" w:eastAsia="华文仿宋" w:cs="华文仿宋"/>
                <w:kern w:val="0"/>
                <w:sz w:val="24"/>
                <w:szCs w:val="24"/>
                <w:lang w:val="en-US" w:eastAsia="zh-CN"/>
              </w:rPr>
              <w:t>5</w:t>
            </w:r>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360" w:firstLineChars="200"/>
              <w:jc w:val="left"/>
              <w:rPr>
                <w:rFonts w:ascii="华文仿宋" w:hAnsi="华文仿宋" w:eastAsia="华文仿宋" w:cs="华文仿宋"/>
                <w:kern w:val="0"/>
                <w:sz w:val="24"/>
                <w:szCs w:val="24"/>
              </w:rPr>
            </w:pPr>
            <w:r>
              <w:rPr>
                <w:rFonts w:hint="eastAsia" w:cs="宋体" w:asciiTheme="minorEastAsia" w:hAnsiTheme="minorEastAsia" w:eastAsiaTheme="minorEastAsia"/>
                <w:kern w:val="0"/>
                <w:sz w:val="18"/>
                <w:szCs w:val="18"/>
                <w:lang w:eastAsia="zh-CN"/>
              </w:rPr>
              <w:drawing>
                <wp:anchor distT="0" distB="0" distL="114300" distR="114300" simplePos="0" relativeHeight="251707392" behindDoc="1" locked="0" layoutInCell="1" allowOverlap="1">
                  <wp:simplePos x="0" y="0"/>
                  <wp:positionH relativeFrom="column">
                    <wp:posOffset>-1895475</wp:posOffset>
                  </wp:positionH>
                  <wp:positionV relativeFrom="paragraph">
                    <wp:posOffset>-69850</wp:posOffset>
                  </wp:positionV>
                  <wp:extent cx="7560310" cy="9756775"/>
                  <wp:effectExtent l="0" t="0" r="2540" b="15875"/>
                  <wp:wrapNone/>
                  <wp:docPr id="6" name="图片 6"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lang w:eastAsia="zh-CN"/>
              </w:rPr>
              <w:t>宁波银行股份有限公司</w:t>
            </w:r>
          </w:p>
        </w:tc>
      </w:tr>
    </w:tbl>
    <w:p>
      <w:pPr>
        <w:widowControl/>
        <w:spacing w:line="300" w:lineRule="exact"/>
        <w:ind w:firstLine="482" w:firstLineChars="200"/>
        <w:jc w:val="left"/>
        <w:rPr>
          <w:rFonts w:ascii="华文仿宋" w:hAnsi="华文仿宋" w:eastAsia="华文仿宋" w:cs="华文仿宋"/>
          <w:sz w:val="24"/>
          <w:szCs w:val="24"/>
        </w:rPr>
      </w:pPr>
      <w:r>
        <w:rPr>
          <w:rStyle w:val="11"/>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numPr>
          <w:ilvl w:val="0"/>
          <w:numId w:val="1"/>
        </w:numPr>
        <w:spacing w:line="38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固定收益类资产：包括但不限于国债、中央银行票据、同业存单、金融债、企业债、公司债、中期票据、短期融资券、超短期融资券、定向债务融资工具（PPN）、资产支持证券、资产支持票据(ABN）、</w:t>
      </w:r>
      <w:r>
        <w:rPr>
          <w:rFonts w:hint="eastAsia" w:ascii="华文仿宋" w:hAnsi="华文仿宋" w:eastAsia="华文仿宋" w:cs="华文仿宋"/>
          <w:kern w:val="0"/>
          <w:sz w:val="24"/>
          <w:szCs w:val="24"/>
          <w:lang w:eastAsia="zh-CN"/>
        </w:rPr>
        <w:t>同业借款</w:t>
      </w:r>
      <w:r>
        <w:rPr>
          <w:rFonts w:hint="eastAsia" w:ascii="华文仿宋" w:hAnsi="华文仿宋" w:eastAsia="华文仿宋" w:cs="华文仿宋"/>
          <w:kern w:val="0"/>
          <w:sz w:val="24"/>
          <w:szCs w:val="24"/>
        </w:rPr>
        <w:t>及底层资产为上述资产的各类资管计划、</w:t>
      </w:r>
      <w:r>
        <w:rPr>
          <w:rFonts w:hint="eastAsia" w:ascii="华文仿宋" w:hAnsi="华文仿宋" w:eastAsia="华文仿宋" w:cs="华文仿宋"/>
          <w:kern w:val="0"/>
          <w:sz w:val="24"/>
          <w:szCs w:val="24"/>
          <w:lang w:eastAsia="zh-CN"/>
        </w:rPr>
        <w:t>信托计划</w:t>
      </w:r>
      <w:r>
        <w:rPr>
          <w:rFonts w:hint="eastAsia" w:ascii="华文仿宋" w:hAnsi="华文仿宋" w:eastAsia="华文仿宋" w:cs="华文仿宋"/>
          <w:kern w:val="0"/>
          <w:sz w:val="24"/>
          <w:szCs w:val="24"/>
        </w:rPr>
        <w:t>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w:t>
      </w:r>
      <w:r>
        <w:rPr>
          <w:rFonts w:hint="eastAsia" w:cs="宋体" w:asciiTheme="minorEastAsia" w:hAnsiTheme="minorEastAsia" w:eastAsiaTheme="minorEastAsia"/>
          <w:kern w:val="0"/>
          <w:sz w:val="18"/>
          <w:szCs w:val="18"/>
          <w:lang w:eastAsia="zh-CN"/>
        </w:rPr>
        <w:drawing>
          <wp:anchor distT="0" distB="0" distL="114300" distR="114300" simplePos="0" relativeHeight="251719680" behindDoc="1" locked="0" layoutInCell="1" allowOverlap="1">
            <wp:simplePos x="0" y="0"/>
            <wp:positionH relativeFrom="column">
              <wp:posOffset>-680085</wp:posOffset>
            </wp:positionH>
            <wp:positionV relativeFrom="paragraph">
              <wp:posOffset>27305</wp:posOffset>
            </wp:positionV>
            <wp:extent cx="7560310" cy="9756775"/>
            <wp:effectExtent l="0" t="0" r="2540" b="15875"/>
            <wp:wrapNone/>
            <wp:docPr id="7" name="图片 7"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Fonts w:hint="eastAsia" w:ascii="华文仿宋" w:hAnsi="华文仿宋" w:eastAsia="华文仿宋" w:cs="华文仿宋"/>
          <w:kern w:val="0"/>
          <w:sz w:val="24"/>
          <w:szCs w:val="24"/>
        </w:rPr>
        <w:t>各类资产原则上按照公允价值估值，具体估值方法如下：</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11"/>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11"/>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w:t>
      </w:r>
      <w:r>
        <w:rPr>
          <w:rFonts w:hint="eastAsia" w:cs="宋体" w:asciiTheme="minorEastAsia" w:hAnsiTheme="minorEastAsia" w:eastAsiaTheme="minorEastAsia"/>
          <w:kern w:val="0"/>
          <w:sz w:val="18"/>
          <w:szCs w:val="18"/>
          <w:lang w:eastAsia="zh-CN"/>
        </w:rPr>
        <w:drawing>
          <wp:anchor distT="0" distB="0" distL="114300" distR="114300" simplePos="0" relativeHeight="251731968" behindDoc="1" locked="0" layoutInCell="1" allowOverlap="1">
            <wp:simplePos x="0" y="0"/>
            <wp:positionH relativeFrom="column">
              <wp:posOffset>-680085</wp:posOffset>
            </wp:positionH>
            <wp:positionV relativeFrom="paragraph">
              <wp:posOffset>27305</wp:posOffset>
            </wp:positionV>
            <wp:extent cx="7560310" cy="9756775"/>
            <wp:effectExtent l="0" t="0" r="2540" b="15875"/>
            <wp:wrapNone/>
            <wp:docPr id="8" name="图片 8" descr="水印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水印_Print"/>
                    <pic:cNvPicPr>
                      <a:picLocks noChangeAspect="1"/>
                    </pic:cNvPicPr>
                  </pic:nvPicPr>
                  <pic:blipFill>
                    <a:blip r:embed="rId6"/>
                    <a:srcRect t="8894"/>
                    <a:stretch>
                      <a:fillRect/>
                    </a:stretch>
                  </pic:blipFill>
                  <pic:spPr>
                    <a:xfrm>
                      <a:off x="0" y="0"/>
                      <a:ext cx="7560310" cy="9756775"/>
                    </a:xfrm>
                    <a:prstGeom prst="rect">
                      <a:avLst/>
                    </a:prstGeom>
                  </pic:spPr>
                </pic:pic>
              </a:graphicData>
            </a:graphic>
          </wp:anchor>
        </w:drawing>
      </w:r>
      <w:r>
        <w:rPr>
          <w:rFonts w:hint="eastAsia" w:ascii="华文仿宋" w:hAnsi="华文仿宋" w:eastAsia="华文仿宋"/>
          <w:kern w:val="0"/>
          <w:sz w:val="24"/>
          <w:szCs w:val="24"/>
        </w:rPr>
        <w:t>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11"/>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大黑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4"/>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11"/>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1A51830"/>
    <w:rsid w:val="04211393"/>
    <w:rsid w:val="04AF546C"/>
    <w:rsid w:val="04E9023E"/>
    <w:rsid w:val="06AA54B4"/>
    <w:rsid w:val="06F07976"/>
    <w:rsid w:val="0A2C2EA4"/>
    <w:rsid w:val="0A8D7997"/>
    <w:rsid w:val="0ABE576C"/>
    <w:rsid w:val="0BEF09B0"/>
    <w:rsid w:val="0C2348D4"/>
    <w:rsid w:val="0C28306D"/>
    <w:rsid w:val="0C8E4716"/>
    <w:rsid w:val="0DCC06A1"/>
    <w:rsid w:val="0E8F6CE4"/>
    <w:rsid w:val="0F344F29"/>
    <w:rsid w:val="0F455427"/>
    <w:rsid w:val="0F833DB6"/>
    <w:rsid w:val="0F972804"/>
    <w:rsid w:val="1127622D"/>
    <w:rsid w:val="12295BA1"/>
    <w:rsid w:val="150B39CF"/>
    <w:rsid w:val="158B366C"/>
    <w:rsid w:val="15CA5CC3"/>
    <w:rsid w:val="165A2FC4"/>
    <w:rsid w:val="166528F4"/>
    <w:rsid w:val="16710160"/>
    <w:rsid w:val="182A632F"/>
    <w:rsid w:val="18307F10"/>
    <w:rsid w:val="19617D23"/>
    <w:rsid w:val="199F4933"/>
    <w:rsid w:val="1CFB3A9C"/>
    <w:rsid w:val="1F306EDA"/>
    <w:rsid w:val="213C2DEE"/>
    <w:rsid w:val="219B0D2E"/>
    <w:rsid w:val="22BC6D50"/>
    <w:rsid w:val="230E6EB6"/>
    <w:rsid w:val="23813524"/>
    <w:rsid w:val="24730B3D"/>
    <w:rsid w:val="2483777A"/>
    <w:rsid w:val="25420F72"/>
    <w:rsid w:val="26524696"/>
    <w:rsid w:val="282E437B"/>
    <w:rsid w:val="292A75D2"/>
    <w:rsid w:val="29C0055D"/>
    <w:rsid w:val="29FC2C3B"/>
    <w:rsid w:val="2B1B7F2B"/>
    <w:rsid w:val="2C35520A"/>
    <w:rsid w:val="2D297009"/>
    <w:rsid w:val="2D2D7955"/>
    <w:rsid w:val="2DF7051B"/>
    <w:rsid w:val="2EC47150"/>
    <w:rsid w:val="2EC64065"/>
    <w:rsid w:val="2EF04DAC"/>
    <w:rsid w:val="2F41330F"/>
    <w:rsid w:val="2FB06FC7"/>
    <w:rsid w:val="30F916A5"/>
    <w:rsid w:val="313D1897"/>
    <w:rsid w:val="315437AD"/>
    <w:rsid w:val="316168F6"/>
    <w:rsid w:val="349E6C21"/>
    <w:rsid w:val="36872AFD"/>
    <w:rsid w:val="36F464BB"/>
    <w:rsid w:val="37014554"/>
    <w:rsid w:val="370234D1"/>
    <w:rsid w:val="382F778D"/>
    <w:rsid w:val="3874707E"/>
    <w:rsid w:val="39456D2E"/>
    <w:rsid w:val="3A332045"/>
    <w:rsid w:val="3A7D3C24"/>
    <w:rsid w:val="3B6E4155"/>
    <w:rsid w:val="3B783CF6"/>
    <w:rsid w:val="3BC03386"/>
    <w:rsid w:val="3C5031D7"/>
    <w:rsid w:val="3C6E35BA"/>
    <w:rsid w:val="3D4C494C"/>
    <w:rsid w:val="3DFC5C2C"/>
    <w:rsid w:val="3E8A3700"/>
    <w:rsid w:val="3EB559A4"/>
    <w:rsid w:val="3F0A535E"/>
    <w:rsid w:val="3F2040FB"/>
    <w:rsid w:val="3F69702C"/>
    <w:rsid w:val="3F8845E4"/>
    <w:rsid w:val="409C44FE"/>
    <w:rsid w:val="41574CBC"/>
    <w:rsid w:val="41E66867"/>
    <w:rsid w:val="43121CF7"/>
    <w:rsid w:val="43806882"/>
    <w:rsid w:val="43B6405B"/>
    <w:rsid w:val="47837790"/>
    <w:rsid w:val="48122FCB"/>
    <w:rsid w:val="48C41F58"/>
    <w:rsid w:val="4AA84823"/>
    <w:rsid w:val="4AF9434C"/>
    <w:rsid w:val="4BA12067"/>
    <w:rsid w:val="4BBF77A0"/>
    <w:rsid w:val="4BE97067"/>
    <w:rsid w:val="4D5765AE"/>
    <w:rsid w:val="4E9D5410"/>
    <w:rsid w:val="50063C66"/>
    <w:rsid w:val="529E0394"/>
    <w:rsid w:val="52B43E3A"/>
    <w:rsid w:val="530C15C3"/>
    <w:rsid w:val="550550A7"/>
    <w:rsid w:val="557C3BE9"/>
    <w:rsid w:val="559B60F2"/>
    <w:rsid w:val="568B553A"/>
    <w:rsid w:val="57697D41"/>
    <w:rsid w:val="57D453E9"/>
    <w:rsid w:val="592579CD"/>
    <w:rsid w:val="5A3A65B9"/>
    <w:rsid w:val="5BA5764F"/>
    <w:rsid w:val="5BA85F91"/>
    <w:rsid w:val="5F06242E"/>
    <w:rsid w:val="5F146C8F"/>
    <w:rsid w:val="5FB76071"/>
    <w:rsid w:val="6099040F"/>
    <w:rsid w:val="60D12938"/>
    <w:rsid w:val="626A7E64"/>
    <w:rsid w:val="63B2608C"/>
    <w:rsid w:val="64A23D93"/>
    <w:rsid w:val="650134AF"/>
    <w:rsid w:val="66437D7B"/>
    <w:rsid w:val="66915AAB"/>
    <w:rsid w:val="68107BBA"/>
    <w:rsid w:val="68B0605D"/>
    <w:rsid w:val="69DC1BDD"/>
    <w:rsid w:val="6D60040F"/>
    <w:rsid w:val="6D9846CE"/>
    <w:rsid w:val="6EF3563C"/>
    <w:rsid w:val="703C2EBA"/>
    <w:rsid w:val="71961F41"/>
    <w:rsid w:val="71BF1CB6"/>
    <w:rsid w:val="71D81222"/>
    <w:rsid w:val="75B25B27"/>
    <w:rsid w:val="77692B6F"/>
    <w:rsid w:val="77CF62C4"/>
    <w:rsid w:val="7813645C"/>
    <w:rsid w:val="78263B10"/>
    <w:rsid w:val="787B43CA"/>
    <w:rsid w:val="7BDF47E3"/>
    <w:rsid w:val="7CAB3AE1"/>
    <w:rsid w:val="7D0C1DD9"/>
    <w:rsid w:val="7E5F7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szCs w:val="24"/>
    </w:rPr>
  </w:style>
  <w:style w:type="paragraph" w:styleId="7">
    <w:name w:val="annotation subject"/>
    <w:basedOn w:val="2"/>
    <w:next w:val="2"/>
    <w:link w:val="21"/>
    <w:unhideWhenUsed/>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眉 Char"/>
    <w:basedOn w:val="10"/>
    <w:link w:val="5"/>
    <w:semiHidden/>
    <w:qFormat/>
    <w:uiPriority w:val="99"/>
    <w:rPr>
      <w:rFonts w:ascii="Times New Roman" w:hAnsi="Times New Roman"/>
      <w:sz w:val="18"/>
      <w:szCs w:val="18"/>
    </w:rPr>
  </w:style>
  <w:style w:type="character" w:customStyle="1" w:styleId="15">
    <w:name w:val="页脚 Char"/>
    <w:basedOn w:val="10"/>
    <w:link w:val="4"/>
    <w:qFormat/>
    <w:uiPriority w:val="99"/>
    <w:rPr>
      <w:rFonts w:ascii="Times New Roman" w:hAnsi="Times New Roman"/>
      <w:sz w:val="18"/>
      <w:szCs w:val="18"/>
    </w:rPr>
  </w:style>
  <w:style w:type="character" w:customStyle="1" w:styleId="16">
    <w:name w:val="fontstyle01"/>
    <w:basedOn w:val="10"/>
    <w:qFormat/>
    <w:uiPriority w:val="0"/>
    <w:rPr>
      <w:rFonts w:hint="eastAsia" w:ascii="宋体" w:hAnsi="宋体" w:eastAsia="宋体" w:cs="宋体"/>
      <w:color w:val="000000"/>
      <w:sz w:val="22"/>
      <w:szCs w:val="22"/>
    </w:rPr>
  </w:style>
  <w:style w:type="character" w:customStyle="1" w:styleId="17">
    <w:name w:val="fontstyle11"/>
    <w:basedOn w:val="10"/>
    <w:qFormat/>
    <w:uiPriority w:val="0"/>
    <w:rPr>
      <w:rFonts w:ascii="仿宋" w:hAnsi="仿宋" w:eastAsia="仿宋" w:cs="仿宋"/>
      <w:color w:val="000000"/>
      <w:sz w:val="22"/>
      <w:szCs w:val="22"/>
    </w:rPr>
  </w:style>
  <w:style w:type="character" w:customStyle="1" w:styleId="18">
    <w:name w:val="批注框文本 Char"/>
    <w:basedOn w:val="10"/>
    <w:link w:val="3"/>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10"/>
    <w:link w:val="2"/>
    <w:qFormat/>
    <w:uiPriority w:val="99"/>
    <w:rPr>
      <w:kern w:val="2"/>
      <w:sz w:val="21"/>
      <w:szCs w:val="22"/>
    </w:rPr>
  </w:style>
  <w:style w:type="character" w:customStyle="1" w:styleId="21">
    <w:name w:val="批注主题 Char"/>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972</Words>
  <Characters>5546</Characters>
  <Lines>46</Lines>
  <Paragraphs>13</Paragraphs>
  <TotalTime>1</TotalTime>
  <ScaleCrop>false</ScaleCrop>
  <LinksUpToDate>false</LinksUpToDate>
  <CharactersWithSpaces>6505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2020-08-04T08:56:33Z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