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Lines="50" w:line="360" w:lineRule="auto"/>
        <w:jc w:val="center"/>
        <w:rPr>
          <w:rStyle w:val="9"/>
          <w:rFonts w:hint="eastAsia" w:ascii="黑体" w:hAnsi="黑体" w:eastAsia="黑体" w:cs="宋体"/>
          <w:b w:val="0"/>
          <w:kern w:val="0"/>
          <w:sz w:val="28"/>
          <w:szCs w:val="28"/>
        </w:rPr>
      </w:pPr>
      <w:r>
        <w:rPr>
          <w:rStyle w:val="9"/>
          <w:rFonts w:hint="eastAsia" w:ascii="黑体" w:hAnsi="黑体" w:eastAsia="黑体" w:cs="宋体"/>
          <w:b w:val="0"/>
          <w:kern w:val="0"/>
          <w:sz w:val="28"/>
          <w:szCs w:val="28"/>
        </w:rPr>
        <w:t>新疆银行“金胡杨”净值型人民币理财产品协议书</w:t>
      </w:r>
    </w:p>
    <w:p>
      <w:pPr>
        <w:widowControl/>
        <w:adjustRightInd w:val="0"/>
        <w:snapToGrid w:val="0"/>
        <w:spacing w:beforeLines="50" w:line="360" w:lineRule="auto"/>
        <w:jc w:val="center"/>
        <w:rPr>
          <w:rStyle w:val="9"/>
          <w:rFonts w:hint="eastAsia" w:ascii="黑体" w:hAnsi="黑体" w:eastAsia="黑体" w:cs="宋体"/>
          <w:b w:val="0"/>
          <w:kern w:val="0"/>
          <w:sz w:val="28"/>
          <w:szCs w:val="28"/>
        </w:rPr>
      </w:pPr>
      <w:r>
        <w:rPr>
          <w:rStyle w:val="9"/>
          <w:rFonts w:hint="eastAsia" w:ascii="宋体" w:hAnsi="宋体" w:cs="宋体"/>
          <w:kern w:val="0"/>
          <w:sz w:val="18"/>
          <w:szCs w:val="18"/>
        </w:rPr>
        <w:t>理财产品过往业绩不代表其未来表现，不等于理财产品实际收益</w:t>
      </w:r>
      <w:r>
        <w:rPr>
          <w:rStyle w:val="9"/>
          <w:rFonts w:cs="宋体"/>
          <w:bCs w:val="0"/>
          <w:sz w:val="18"/>
          <w:szCs w:val="18"/>
        </w:rPr>
        <w:t xml:space="preserve"> </w:t>
      </w:r>
    </w:p>
    <w:p>
      <w:pPr>
        <w:widowControl/>
        <w:spacing w:line="400" w:lineRule="exact"/>
        <w:jc w:val="center"/>
        <w:rPr>
          <w:rStyle w:val="9"/>
          <w:rFonts w:ascii="宋体" w:hAnsi="宋体" w:cs="宋体"/>
          <w:kern w:val="0"/>
          <w:sz w:val="18"/>
          <w:szCs w:val="18"/>
        </w:rPr>
      </w:pPr>
      <w:r>
        <w:rPr>
          <w:rStyle w:val="9"/>
          <w:rFonts w:hint="eastAsia" w:ascii="宋体" w:hAnsi="宋体" w:cs="宋体"/>
          <w:kern w:val="0"/>
          <w:sz w:val="18"/>
          <w:szCs w:val="18"/>
        </w:rPr>
        <w:t>理财非存款、产品有风险、投资须谨慎</w:t>
      </w:r>
    </w:p>
    <w:p>
      <w:pPr>
        <w:widowControl/>
        <w:adjustRightInd w:val="0"/>
        <w:snapToGrid w:val="0"/>
        <w:spacing w:beforeLines="50" w:line="360" w:lineRule="auto"/>
        <w:ind w:firstLine="570"/>
        <w:jc w:val="left"/>
        <w:rPr>
          <w:rStyle w:val="9"/>
          <w:rFonts w:cs="宋体" w:asciiTheme="minorEastAsia" w:hAnsiTheme="minorEastAsia" w:eastAsiaTheme="minorEastAsia"/>
          <w:b w:val="0"/>
          <w:kern w:val="0"/>
          <w:szCs w:val="21"/>
        </w:rPr>
      </w:pPr>
      <w:r>
        <w:rPr>
          <w:rStyle w:val="9"/>
          <w:rFonts w:hint="eastAsia" w:cs="宋体" w:asciiTheme="minorEastAsia" w:hAnsiTheme="minorEastAsia" w:eastAsiaTheme="minorEastAsia"/>
          <w:b w:val="0"/>
          <w:kern w:val="0"/>
          <w:szCs w:val="21"/>
        </w:rPr>
        <w:t>甲方（投资者）自愿购买乙方（银行）发行的理财产品，经双方协商一致，签订本协议。本协议为规范甲乙双方在理财业务中权利和义务的法律文件。</w:t>
      </w:r>
    </w:p>
    <w:tbl>
      <w:tblPr>
        <w:tblStyle w:val="6"/>
        <w:tblW w:w="99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5"/>
        <w:gridCol w:w="875"/>
        <w:gridCol w:w="371"/>
        <w:gridCol w:w="1245"/>
        <w:gridCol w:w="200"/>
        <w:gridCol w:w="854"/>
        <w:gridCol w:w="219"/>
        <w:gridCol w:w="486"/>
        <w:gridCol w:w="713"/>
        <w:gridCol w:w="46"/>
        <w:gridCol w:w="1367"/>
        <w:gridCol w:w="18"/>
        <w:gridCol w:w="1106"/>
        <w:gridCol w:w="1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tcBorders>
              <w:bottom w:val="single" w:color="000000" w:sz="4" w:space="0"/>
            </w:tcBorders>
            <w:shd w:val="clear" w:color="auto" w:fill="3399FF"/>
          </w:tcPr>
          <w:p>
            <w:pPr>
              <w:widowControl/>
              <w:jc w:val="center"/>
              <w:rPr>
                <w:rFonts w:cs="宋体" w:asciiTheme="minorEastAsia" w:hAnsiTheme="minorEastAsia" w:eastAsiaTheme="minorEastAsia"/>
                <w:b/>
                <w:color w:val="000000"/>
                <w:kern w:val="0"/>
                <w:sz w:val="22"/>
              </w:rPr>
            </w:pPr>
            <w:bookmarkStart w:id="0" w:name="_GoBack"/>
            <w:r>
              <w:rPr>
                <w:rFonts w:hint="eastAsia" w:cs="宋体" w:asciiTheme="minorEastAsia" w:hAnsiTheme="minorEastAsia" w:eastAsiaTheme="minorEastAsia"/>
                <w:b/>
                <w:color w:val="000000"/>
                <w:kern w:val="0"/>
                <w:sz w:val="22"/>
              </w:rPr>
              <w:t>一、基本信息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tcBorders>
              <w:bottom w:val="single" w:color="000000" w:sz="4" w:space="0"/>
            </w:tcBorders>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甲方基本信息（投资者基本信息）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9962" w:type="dxa"/>
            <w:gridSpan w:val="14"/>
            <w:tcBorders>
              <w:top w:val="single" w:color="000000" w:sz="4" w:space="0"/>
              <w:left w:val="single" w:color="000000" w:sz="4" w:space="0"/>
              <w:right w:val="single" w:color="000000" w:sz="4" w:space="0"/>
            </w:tcBorders>
            <w:shd w:val="clear" w:color="auto" w:fill="3399FF"/>
          </w:tcPr>
          <w:p>
            <w:pPr>
              <w:jc w:val="center"/>
              <w:rPr>
                <w:rFonts w:cs="宋体" w:asciiTheme="minorEastAsia" w:hAnsiTheme="minorEastAsia" w:eastAsiaTheme="minorEastAsia"/>
                <w:b/>
                <w:color w:val="000000"/>
                <w:kern w:val="0"/>
                <w:sz w:val="22"/>
              </w:rPr>
            </w:pPr>
            <w:r>
              <w:rPr>
                <w:rFonts w:hint="eastAsia" w:cs="宋体" w:asciiTheme="minorEastAsia" w:hAnsiTheme="minorEastAsia" w:eastAsiaTheme="minorEastAsia"/>
                <w:b/>
                <w:color w:val="000000"/>
                <w:kern w:val="0"/>
                <w:sz w:val="22"/>
              </w:rPr>
              <w:t>个人投资者填写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姓名</w:t>
            </w:r>
          </w:p>
        </w:tc>
        <w:tc>
          <w:tcPr>
            <w:tcW w:w="1246"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性别</w:t>
            </w:r>
          </w:p>
        </w:tc>
        <w:tc>
          <w:tcPr>
            <w:tcW w:w="1273" w:type="dxa"/>
            <w:gridSpan w:val="3"/>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gridSpan w:val="3"/>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国籍</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106"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职业</w:t>
            </w:r>
          </w:p>
        </w:tc>
        <w:tc>
          <w:tcPr>
            <w:tcW w:w="1217"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证件种类</w:t>
            </w:r>
          </w:p>
        </w:tc>
        <w:tc>
          <w:tcPr>
            <w:tcW w:w="1246"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证件号码</w:t>
            </w:r>
          </w:p>
        </w:tc>
        <w:tc>
          <w:tcPr>
            <w:tcW w:w="2518" w:type="dxa"/>
            <w:gridSpan w:val="6"/>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证件有效期</w:t>
            </w:r>
          </w:p>
        </w:tc>
        <w:tc>
          <w:tcPr>
            <w:tcW w:w="2323"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家庭地址</w:t>
            </w:r>
          </w:p>
        </w:tc>
        <w:tc>
          <w:tcPr>
            <w:tcW w:w="5009" w:type="dxa"/>
            <w:gridSpan w:val="9"/>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385"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323" w:type="dxa"/>
            <w:gridSpan w:val="2"/>
            <w:tcBorders>
              <w:top w:val="single" w:color="000000" w:sz="4" w:space="0"/>
              <w:left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单位地址</w:t>
            </w:r>
          </w:p>
        </w:tc>
        <w:tc>
          <w:tcPr>
            <w:tcW w:w="5009" w:type="dxa"/>
            <w:gridSpan w:val="9"/>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手机号码</w:t>
            </w:r>
          </w:p>
        </w:tc>
        <w:tc>
          <w:tcPr>
            <w:tcW w:w="232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jc w:val="left"/>
              <w:rPr>
                <w:rFonts w:cs="宋体" w:asciiTheme="minorEastAsia" w:hAnsiTheme="minorEastAsia" w:eastAsiaTheme="minorEastAsia"/>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9962" w:type="dxa"/>
            <w:gridSpan w:val="14"/>
            <w:tcBorders>
              <w:top w:val="single" w:color="000000" w:sz="4" w:space="0"/>
              <w:left w:val="single" w:color="000000" w:sz="4" w:space="0"/>
              <w:bottom w:val="single" w:color="000000" w:sz="4" w:space="0"/>
              <w:right w:val="single" w:color="000000" w:sz="4" w:space="0"/>
            </w:tcBorders>
            <w:shd w:val="clear" w:color="auto" w:fill="3399FF"/>
          </w:tcPr>
          <w:p>
            <w:pPr>
              <w:widowControl/>
              <w:jc w:val="center"/>
              <w:rPr>
                <w:rFonts w:cs="宋体" w:asciiTheme="minorEastAsia" w:hAnsiTheme="minorEastAsia" w:eastAsiaTheme="minorEastAsia"/>
                <w:b/>
                <w:color w:val="000000"/>
                <w:kern w:val="0"/>
                <w:sz w:val="22"/>
                <w:highlight w:val="cyan"/>
              </w:rPr>
            </w:pPr>
            <w:r>
              <w:rPr>
                <w:rFonts w:hint="eastAsia" w:cs="宋体" w:asciiTheme="minorEastAsia" w:hAnsiTheme="minorEastAsia" w:eastAsiaTheme="minorEastAsia"/>
                <w:b/>
                <w:color w:val="000000"/>
                <w:kern w:val="0"/>
                <w:sz w:val="22"/>
              </w:rPr>
              <w:t>单位投资者填写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单位名称</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证件种类</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注册地址</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证件号码</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通讯地址</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证件有效期</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经办人姓名</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法定代表人姓名</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经办人证件种类</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法定代表人证件种类</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经办人证件号码</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法定代表人证件号码</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经办人证件有效期</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法定代表人证件有效期</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 w:hRule="atLeast"/>
        </w:trPr>
        <w:tc>
          <w:tcPr>
            <w:tcW w:w="212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26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2341"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乙方基本信息（银行基本信息）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乙    方</w:t>
            </w:r>
          </w:p>
        </w:tc>
        <w:tc>
          <w:tcPr>
            <w:tcW w:w="8717" w:type="dxa"/>
            <w:gridSpan w:val="1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新疆银行股份有限公司</w:t>
            </w:r>
            <w:r>
              <w:rPr>
                <w:rFonts w:hint="eastAsia" w:cs="宋体" w:asciiTheme="minorEastAsia" w:hAnsiTheme="minorEastAsia" w:eastAsiaTheme="minorEastAsia"/>
                <w:color w:val="000000"/>
                <w:kern w:val="0"/>
                <w:sz w:val="22"/>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联系地址</w:t>
            </w:r>
          </w:p>
        </w:tc>
        <w:tc>
          <w:tcPr>
            <w:tcW w:w="3545" w:type="dxa"/>
            <w:gridSpan w:val="5"/>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418"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邮政编码</w:t>
            </w:r>
          </w:p>
        </w:tc>
        <w:tc>
          <w:tcPr>
            <w:tcW w:w="3754" w:type="dxa"/>
            <w:gridSpan w:val="5"/>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联系电话</w:t>
            </w:r>
          </w:p>
        </w:tc>
        <w:tc>
          <w:tcPr>
            <w:tcW w:w="3545" w:type="dxa"/>
            <w:gridSpan w:val="5"/>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418" w:type="dxa"/>
            <w:gridSpan w:val="3"/>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3754" w:type="dxa"/>
            <w:gridSpan w:val="5"/>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962" w:type="dxa"/>
            <w:gridSpan w:val="14"/>
            <w:shd w:val="clear" w:color="auto" w:fill="3399FF"/>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业务基本信息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业    务</w:t>
            </w:r>
          </w:p>
        </w:tc>
        <w:tc>
          <w:tcPr>
            <w:tcW w:w="8717" w:type="dxa"/>
            <w:gridSpan w:val="13"/>
          </w:tcPr>
          <w:p>
            <w:pPr>
              <w:widowControl/>
              <w:jc w:val="center"/>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□购买        □赎回        □撤单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产品名称</w:t>
            </w:r>
          </w:p>
        </w:tc>
        <w:tc>
          <w:tcPr>
            <w:tcW w:w="2691" w:type="dxa"/>
            <w:gridSpan w:val="4"/>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559"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产品代码</w:t>
            </w:r>
          </w:p>
        </w:tc>
        <w:tc>
          <w:tcPr>
            <w:tcW w:w="4467" w:type="dxa"/>
            <w:gridSpan w:val="6"/>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45" w:type="dxa"/>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交易币种</w:t>
            </w:r>
          </w:p>
        </w:tc>
        <w:tc>
          <w:tcPr>
            <w:tcW w:w="2691" w:type="dxa"/>
            <w:gridSpan w:val="4"/>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w:t>
            </w:r>
          </w:p>
        </w:tc>
        <w:tc>
          <w:tcPr>
            <w:tcW w:w="1559" w:type="dxa"/>
            <w:gridSpan w:val="3"/>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交易金额</w:t>
            </w:r>
          </w:p>
        </w:tc>
        <w:tc>
          <w:tcPr>
            <w:tcW w:w="4467" w:type="dxa"/>
            <w:gridSpan w:val="6"/>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xml:space="preserve">　       大写：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5" w:type="dxa"/>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卡/账号</w:t>
            </w:r>
          </w:p>
        </w:tc>
        <w:tc>
          <w:tcPr>
            <w:tcW w:w="2691" w:type="dxa"/>
            <w:gridSpan w:val="4"/>
            <w:tcBorders>
              <w:bottom w:val="single" w:color="000000" w:sz="4" w:space="0"/>
            </w:tcBorders>
          </w:tcPr>
          <w:p>
            <w:pPr>
              <w:widowControl/>
              <w:jc w:val="left"/>
              <w:rPr>
                <w:rFonts w:cs="宋体" w:asciiTheme="minorEastAsia" w:hAnsiTheme="minorEastAsia" w:eastAsiaTheme="minorEastAsia"/>
                <w:color w:val="000000"/>
                <w:kern w:val="0"/>
                <w:sz w:val="22"/>
              </w:rPr>
            </w:pPr>
          </w:p>
        </w:tc>
        <w:tc>
          <w:tcPr>
            <w:tcW w:w="1559" w:type="dxa"/>
            <w:gridSpan w:val="3"/>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交易份额</w:t>
            </w:r>
          </w:p>
        </w:tc>
        <w:tc>
          <w:tcPr>
            <w:tcW w:w="4467" w:type="dxa"/>
            <w:gridSpan w:val="6"/>
            <w:tcBorders>
              <w:bottom w:val="single" w:color="000000" w:sz="4" w:space="0"/>
            </w:tcBorders>
          </w:tcPr>
          <w:p>
            <w:pPr>
              <w:widowControl/>
              <w:jc w:val="left"/>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 xml:space="preserve">         大写：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8070"/>
                <w:tab w:val="right" w:pos="8306"/>
              </w:tabs>
              <w:adjustRightInd w:val="0"/>
              <w:snapToGrid w:val="0"/>
              <w:spacing w:line="360" w:lineRule="auto"/>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 xml:space="preserve">    新疆银</w:t>
            </w:r>
            <w:r>
              <w:rPr>
                <w:rFonts w:hint="eastAsia" w:asciiTheme="minorEastAsia" w:hAnsiTheme="minorEastAsia" w:eastAsiaTheme="minorEastAsia"/>
                <w:szCs w:val="21"/>
              </w:rPr>
              <w:t>“金胡杨”净值型</w:t>
            </w:r>
            <w:r>
              <w:rPr>
                <w:rFonts w:hint="eastAsia" w:cs="宋体" w:asciiTheme="minorEastAsia" w:hAnsiTheme="minorEastAsia" w:eastAsiaTheme="minorEastAsia"/>
                <w:bCs/>
                <w:kern w:val="0"/>
                <w:szCs w:val="21"/>
              </w:rPr>
              <w:t>人民币理财产品理财合同由《风险揭示书》、《产品说明书》、《客户权益须知》、本协议书及客户签署的相关业务凭证共同组成。</w:t>
            </w:r>
          </w:p>
          <w:p>
            <w:pPr>
              <w:widowControl/>
              <w:tabs>
                <w:tab w:val="left" w:pos="8070"/>
                <w:tab w:val="right" w:pos="8306"/>
              </w:tabs>
              <w:adjustRightInd w:val="0"/>
              <w:snapToGrid w:val="0"/>
              <w:spacing w:line="360" w:lineRule="auto"/>
              <w:ind w:firstLine="420" w:firstLineChars="20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理财产品的具体风险和要素详见《风险揭示书》、《产品说明书》和《客户权益须知》等相关文件，上述文件为本协议不可分割的组成部分。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vAlign w:val="center"/>
          </w:tcPr>
          <w:p>
            <w:pPr>
              <w:widowControl/>
              <w:tabs>
                <w:tab w:val="left" w:pos="8070"/>
                <w:tab w:val="right" w:pos="8306"/>
              </w:tabs>
              <w:adjustRightInd w:val="0"/>
              <w:snapToGrid w:val="0"/>
              <w:spacing w:line="360" w:lineRule="auto"/>
              <w:jc w:val="center"/>
              <w:rPr>
                <w:rFonts w:cs="宋体" w:asciiTheme="minorEastAsia" w:hAnsiTheme="minorEastAsia" w:eastAsiaTheme="minorEastAsia"/>
                <w:b/>
                <w:bCs/>
                <w:kern w:val="0"/>
                <w:szCs w:val="21"/>
              </w:rPr>
            </w:pPr>
            <w:r>
              <w:rPr>
                <w:rStyle w:val="9"/>
                <w:rFonts w:hint="eastAsia" w:cs="宋体" w:asciiTheme="minorEastAsia" w:hAnsiTheme="minorEastAsia" w:eastAsiaTheme="minorEastAsia"/>
                <w:kern w:val="0"/>
                <w:szCs w:val="21"/>
              </w:rPr>
              <w:t>二、甲方申明与保证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360"/>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（一）个人投资者申明与保证：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cs="宋体" w:asciiTheme="minorEastAsia" w:hAnsiTheme="minorEastAsia" w:eastAsiaTheme="minorEastAsia"/>
                <w:bCs/>
                <w:kern w:val="0"/>
                <w:szCs w:val="21"/>
              </w:rPr>
              <w:t>1.</w:t>
            </w:r>
            <w:r>
              <w:rPr>
                <w:rFonts w:hint="eastAsia" w:cs="宋体" w:asciiTheme="minorEastAsia" w:hAnsiTheme="minorEastAsia" w:eastAsiaTheme="minorEastAsia"/>
                <w:bCs/>
                <w:kern w:val="0"/>
                <w:szCs w:val="21"/>
              </w:rPr>
              <w:t>甲方具有完全民事行为能力，以本人合法所有的资金购买理财产品；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2.甲方为港、澳、台人士或外籍人士的，其购买理财产品的资质及资金符合相关法律法规及监管的要求；</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3.甲方已如实向乙方披露其风险承受能力状况及相关信息，并签署、确认《风险评估问卷》、《风险揭示书》；如发生可能影响其风险承受能力的情况，甲方应及时进行风险承受能力再评估；</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4.甲方清楚知晓、接受并承诺遵守理财产品合同，对其条款内容不存在任何疑问或异议，清楚了解所购买理财产品的收益类型、适用客户类别、主要风险、投资方向、流动性等内容，完全知晓理财产品可能出现的各种风险，愿意并能够承担这些风险；</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5.乙方向甲方提供的产品分析及预测仅供参考，甲方据此做出的任何决策出于甲方自己的判断，投资决策风险由甲方自行承担。</w:t>
            </w:r>
          </w:p>
          <w:p>
            <w:pPr>
              <w:widowControl/>
              <w:tabs>
                <w:tab w:val="left" w:pos="0"/>
              </w:tabs>
              <w:adjustRightInd w:val="0"/>
              <w:snapToGrid w:val="0"/>
              <w:spacing w:line="360" w:lineRule="auto"/>
              <w:ind w:firstLine="360"/>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（二）机构投资者申明与保证</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1.甲方为依法设立的企业法人、事业法人、社会团体或其他组织，依据相应法律法规有投资理财产品的资格；</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2.签署和履行本协议系甲方的真实意思表示，已经按照其章程或其他内部管理文件的要求取得合法、有效的授权，且不会违反对甲方有约束力的任何协议、合同和其他法律文件；甲方已经或将会取得签订和履行本协议所需的一切有关批准、许可、备案或登记；</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3.甲方用于购买理财产品的资金为其合法所有并具有完全的占有、使用、收益、处分权，该资金可合法投资于理财产品而不存在任何禁止或限制的情形；</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4.甲方已如实、完整地向乙方披露其风险承受能力及相关信息；</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5.甲方授权代理人已得到签署理财产品合同的充分有效授权。甲方的法定代表人或授权代理人具有完全的民事行为能力并已详细阅读本协议、《风险揭示书》、《产品说明书》、《权益须知》等理财合同文本，清楚知晓、接受并承诺遵守理财产品合同，对其条款内容不存在任何疑问或异议，清楚了解所购买理财产品的收益类型、适用客户类别、主要风险、投资方向、流动性等内容，完全知晓理财产品可能出现的各种风险，愿意并能够承担这些风险；</w:t>
            </w:r>
          </w:p>
          <w:p>
            <w:pPr>
              <w:widowControl/>
              <w:tabs>
                <w:tab w:val="left" w:pos="0"/>
              </w:tabs>
              <w:adjustRightInd w:val="0"/>
              <w:snapToGrid w:val="0"/>
              <w:spacing w:line="360" w:lineRule="auto"/>
              <w:ind w:firstLine="360"/>
              <w:jc w:val="left"/>
              <w:rPr>
                <w:rFonts w:cs="宋体" w:asciiTheme="minorEastAsia" w:hAnsiTheme="minorEastAsia" w:eastAsiaTheme="minorEastAsia"/>
                <w:bCs/>
                <w:kern w:val="0"/>
                <w:szCs w:val="21"/>
              </w:rPr>
            </w:pPr>
            <w:r>
              <w:rPr>
                <w:rFonts w:hint="eastAsia" w:cs="宋体" w:asciiTheme="minorEastAsia" w:hAnsiTheme="minorEastAsia" w:eastAsiaTheme="minorEastAsia"/>
                <w:bCs/>
                <w:kern w:val="0"/>
                <w:szCs w:val="21"/>
              </w:rPr>
              <w:t>6.乙方向甲方提供的产品分析及预测仅供参考，甲方据此做出的任何决策出于甲方自己的判断，投资决策风险由甲方自行承担。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
                <w:bCs/>
                <w:kern w:val="0"/>
                <w:szCs w:val="21"/>
              </w:rPr>
            </w:pPr>
            <w:r>
              <w:rPr>
                <w:rStyle w:val="9"/>
                <w:rFonts w:hint="eastAsia" w:cs="宋体" w:asciiTheme="minorEastAsia" w:hAnsiTheme="minorEastAsia" w:eastAsiaTheme="minorEastAsia"/>
                <w:kern w:val="0"/>
                <w:szCs w:val="21"/>
              </w:rPr>
              <w:t>三、风险提示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乙方销售的理财产品与存款存在明显区别，投资理财产品可能面临政策风险、市场风险、信用风险、流动性风险等，具体详见《风险揭示书》。甲方在购买理财产品前，应仔细阅读并充分理解该理财产品的详细条款及可能发生的风险。</w:t>
            </w:r>
          </w:p>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2.非保本浮动收益净值型理财产品：不保证甲方理财资金本金和收益，甲方可能会蒙受不同程度的损失（包括不同程度本金损失），甲方应充分认识投资风险，谨慎投资。</w:t>
            </w:r>
          </w:p>
          <w:p>
            <w:pPr>
              <w:widowControl/>
              <w:tabs>
                <w:tab w:val="left" w:pos="8070"/>
                <w:tab w:val="right" w:pos="8306"/>
              </w:tabs>
              <w:adjustRightInd w:val="0"/>
              <w:snapToGrid w:val="0"/>
              <w:spacing w:line="360" w:lineRule="auto"/>
              <w:ind w:firstLine="40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3.理财产品业绩表现将随市场波动，具有不确定性，业绩比较基准仅供甲方参考，不构成新疆银行对产品实际投资收益率的承诺或担保，客户的实际收益由产品净值决定。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四、双方权利与义务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1.甲方有权依照理财产品合同约定获取理财收益，在约定的投资期内，理财资金本金不另计存款利息。</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2.甲方有权充分了解理财产品合同的条款以及可能发生的风险，充分了解理财产品的管理、运用、处分及收支情况，并有权要求乙方按照有关程序做出说明。</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3.甲方有义务保证理财资金的来源合法，购买理财产品的行为符合法律法规、监管规定及国家政策。</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4.甲方有义务保证所提供的信息、资料真实有效，如变更，应及时到乙方办理变更登记，因甲方未及时办理相关变更手续而造成的损失，乙方不承担责任。本协议履行过程中乙方需联系甲方时，乙方按照本协议中约定的联系或通知方式联系甲方，其中对其代理人的通知视为对甲方的通知。</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5.甲方有义务在其资金账户（下称“甲方资金账户”） 中预留足额的认/申购资金，并按照理财产品合同和乙方业务规则办理认/申购、赎回、转让理财产品，缴纳认/申购、赎回、转让相关费用。如因甲方资金账户冻结、挂失、换卡、销户、长期不动户、变更或其他甲方原因导致理财认/申购、赎回、转让等行为无效的，乙方不承担责任。</w:t>
            </w:r>
          </w:p>
          <w:p>
            <w:pPr>
              <w:widowControl/>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6.甲方有义务在理财产品到期日前，不提前支取本金、收益或要求乙方提前退还被扣划款项，且不得将甲方用于购买理财产品或返还本金、收益的资金账户销户。</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7.对于风险评级为R4（含）以上的理财产品的交易，甲方愿意选择以下任意一种方式进行，并按照乙方相关业务规则处理：（1）在乙方网点进行；（2）在乙方网点外的其他渠道(包括但不限于网上银行、 手机银行等渠道)</w:t>
            </w:r>
            <w:r>
              <w:rPr>
                <w:rFonts w:asciiTheme="minorEastAsia" w:hAnsiTheme="minorEastAsia" w:eastAsiaTheme="minorEastAsia"/>
                <w:szCs w:val="21"/>
              </w:rPr>
              <w:t xml:space="preserve"> </w:t>
            </w:r>
            <w:r>
              <w:rPr>
                <w:rFonts w:hint="eastAsia" w:asciiTheme="minorEastAsia" w:hAnsiTheme="minorEastAsia" w:eastAsiaTheme="minorEastAsia"/>
                <w:szCs w:val="21"/>
              </w:rPr>
              <w:t>进行。</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8.乙方有权确定理财产品的销售渠道（包括但不限于网点柜台、网上银行、手机银行）及其覆盖范围，并及时通知甲方。</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9.乙方有权依据理财产品合同独立对理财资金进行投资管理，并可委托经相关监管机构批准或认可的其他金融机构对理财资金进行投资管理。</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10.乙方有权从甲方资金账户扣划本协议项下理财产品相应认/申购资金等理财款项； 除非双方另有书面约定，在甲方购买风险较高或单笔金额较大的理财产品情形下，乙方进行上述资金扣划时无须与甲方再进行电话等任何方式的最后确认，如甲方不同意购买该理财产品且《产品说明书》约定可以撤销购买，甲方应在乙方规定的交易截止时点前及时通知乙方。</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11.乙方有权依据理财产品合同决定理财资金本金和收益分配方案；乙方有权向甲方收取一定的理财产品管理费、销售费、托管费等相关费用，具体收费项目、条件、方式和标准详见《产品说明书》。</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12.认购期满，如募集资金未达到《产品说明书》所规定的规模下限，乙方有权终止该理财产品或相应延长认购期；如提前达到《产品说明书》所规定的募集金额上限，乙方有权提前结束认购并相应调整理财产品起息日和到期日。 </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13.乙方依约定将理财的本金及收益划入甲方资金账户，即视为向甲方完成支付义务。</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14.乙方有义务根据恪守信用、勤勉尽责的原则管理和运用理财产品财产，维护甲方利益。</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15.乙方有义务按照《产品说明书》的约定在相应渠道上披露理财产品相关信息。</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16.除另有约定外，乙方不负责代扣代缴甲方应缴纳的税款。</w:t>
            </w:r>
          </w:p>
          <w:p>
            <w:pPr>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17.甲、乙双方对本协议及其条款负有保密义务。除法律法规、监管规定另有要求外，未经一方书面认可，另一方不得向任何组织、个人提供或泄露与对方有关的资料和信息</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甲方知晓并同意：乙方根据适用的法律法规、监管规定对投资者及持有的理财产品的相关信息进行登记，并传输给银行业理财登记托管中心。</w:t>
            </w:r>
          </w:p>
          <w:p>
            <w:pPr>
              <w:widowControl/>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18.法律法规、监管规定和理财产品合同规定的其他权利和义务。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五、违约责任与争议处理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1.一方不能履行或不能完全履行理财产品合同的，应承担违约责任。</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因法律法规、监管规定、监管部门政策变化、自然灾害、意外事故、战争、系统故障、通讯故障等乙方不能控制或不可归责于乙方的因素，导致乙方无法履行本协议及其他理财产品合同的，乙方不承担责任，但乙方应在条件允许的情况下采取必要的补救措施，以减少损失。</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本协议及理财产品合同均适用中华人民共和国法律。本协议项下的任何争议，双方应通过友好协商解决；若协商不成，依法向乙方所在地人民法院提起诉讼。在争议解决期间，若该争议不影响本协议及理财产品合同其他条款的履行，则该其他条款应继续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六、协议的签署和生效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tcBorders>
              <w:bottom w:val="single" w:color="000000" w:sz="4" w:space="0"/>
            </w:tcBorders>
          </w:tcPr>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1.甲方为个人投资者的，本协议经甲方签字，乙方盖章后生效；甲方为机构投资者的，本协议经甲方法定代表人或授权代理人签章并加盖法人公章，乙方盖章后生效；</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w:t>
            </w:r>
            <w:r>
              <w:rPr>
                <w:rStyle w:val="9"/>
                <w:rFonts w:hint="eastAsia" w:cs="宋体" w:asciiTheme="minorEastAsia" w:hAnsiTheme="minorEastAsia" w:eastAsiaTheme="minorEastAsia"/>
                <w:b w:val="0"/>
                <w:kern w:val="0"/>
                <w:szCs w:val="21"/>
              </w:rPr>
              <w:t xml:space="preserve"> 若甲方通过乙方电子渠道（包括但不限于网上银行、手机银行等）购买，则本协议经甲方确认并经乙方销售系统确认成交之日起生效。</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3.除《产品说明书》约定的提前终止情形外，甲方有违约行为或甲方资金账户被有权机关冻结、扣划时，乙方有权提前终止本合同，且乙方不承担任何责任。</w:t>
            </w:r>
          </w:p>
          <w:p>
            <w:pPr>
              <w:widowControl/>
              <w:tabs>
                <w:tab w:val="left" w:pos="0"/>
              </w:tabs>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4.本协议一式两份，具有同等法律效力，甲乙双方各执一份。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62" w:type="dxa"/>
            <w:gridSpan w:val="14"/>
            <w:shd w:val="clear" w:color="auto" w:fill="3399FF"/>
          </w:tcPr>
          <w:p>
            <w:pPr>
              <w:widowControl/>
              <w:tabs>
                <w:tab w:val="left" w:pos="8070"/>
                <w:tab w:val="right" w:pos="8306"/>
              </w:tabs>
              <w:adjustRightInd w:val="0"/>
              <w:snapToGrid w:val="0"/>
              <w:spacing w:line="360" w:lineRule="auto"/>
              <w:jc w:val="center"/>
              <w:rPr>
                <w:rFonts w:cs="宋体" w:asciiTheme="minorEastAsia" w:hAnsiTheme="minorEastAsia" w:eastAsiaTheme="minorEastAsia"/>
                <w:bCs/>
                <w:kern w:val="0"/>
                <w:szCs w:val="21"/>
              </w:rPr>
            </w:pPr>
            <w:r>
              <w:rPr>
                <w:rStyle w:val="9"/>
                <w:rFonts w:hint="eastAsia" w:cs="宋体" w:asciiTheme="minorEastAsia" w:hAnsiTheme="minorEastAsia" w:eastAsiaTheme="minorEastAsia"/>
                <w:kern w:val="0"/>
                <w:szCs w:val="21"/>
              </w:rPr>
              <w:t>协议签署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94" w:hRule="atLeast"/>
        </w:trPr>
        <w:tc>
          <w:tcPr>
            <w:tcW w:w="9962" w:type="dxa"/>
            <w:gridSpan w:val="14"/>
          </w:tcPr>
          <w:p>
            <w:pPr>
              <w:widowControl/>
              <w:tabs>
                <w:tab w:val="left" w:pos="0"/>
              </w:tabs>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甲方声明：</w:t>
            </w:r>
          </w:p>
          <w:p>
            <w:pPr>
              <w:widowControl/>
              <w:tabs>
                <w:tab w:val="left" w:pos="0"/>
              </w:tabs>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 xml:space="preserve">    （一）甲方已经收到所购买理财产品相关的《风险揭示书》、《产品说明书》和《客户权益须知》，并已完全理解和接受上述文件及本协议的全部内容，清楚了解所购买理财产品的内容及风险。甲方的投资决策完全出于自身独立自主判断做出，并愿意承担所购买（或赎回、撤单）理财产品所产生的相关风险和全部后果。</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（二）甲方确认乙方相关业务人员对本协议中有关甲乙双方的权利义务，及甲乙双方单方面拥有的某些权利和限制性义务予以解释说明，甲方愿意接受上述条款约束，双方对本协议条款的理解已完全达成一致。</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u w:val="single"/>
              </w:rPr>
            </w:pPr>
            <w:r>
              <w:rPr>
                <w:rFonts w:hint="eastAsia" w:asciiTheme="minorEastAsia" w:hAnsiTheme="minorEastAsia" w:eastAsiaTheme="minorEastAsia"/>
                <w:b/>
                <w:szCs w:val="21"/>
              </w:rPr>
              <w:t>甲方：                                         乙方：新疆银行股份有限公司</w:t>
            </w:r>
            <w:r>
              <w:rPr>
                <w:rFonts w:hint="eastAsia" w:asciiTheme="minorEastAsia" w:hAnsiTheme="minorEastAsia" w:eastAsiaTheme="minorEastAsia"/>
                <w:b/>
                <w:szCs w:val="21"/>
                <w:u w:val="single"/>
              </w:rPr>
              <w:t xml:space="preserve">            </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法定代表人/授权代理人：                        理财经理：</w:t>
            </w: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p>
          <w:p>
            <w:pPr>
              <w:widowControl/>
              <w:tabs>
                <w:tab w:val="left" w:pos="0"/>
              </w:tabs>
              <w:adjustRightInd w:val="0"/>
              <w:snapToGrid w:val="0"/>
              <w:spacing w:line="360" w:lineRule="auto"/>
              <w:ind w:firstLine="413" w:firstLineChars="196"/>
              <w:jc w:val="left"/>
              <w:rPr>
                <w:rFonts w:asciiTheme="minorEastAsia" w:hAnsiTheme="minorEastAsia" w:eastAsiaTheme="minorEastAsia"/>
                <w:b/>
                <w:szCs w:val="21"/>
              </w:rPr>
            </w:pPr>
            <w:r>
              <w:rPr>
                <w:rFonts w:hint="eastAsia" w:asciiTheme="minorEastAsia" w:hAnsiTheme="minorEastAsia" w:eastAsiaTheme="minorEastAsia"/>
                <w:b/>
                <w:szCs w:val="21"/>
              </w:rPr>
              <w:t>日期：                                         理财经理证书编号：</w:t>
            </w:r>
          </w:p>
          <w:p>
            <w:pPr>
              <w:widowControl/>
              <w:tabs>
                <w:tab w:val="left" w:pos="0"/>
              </w:tabs>
              <w:adjustRightInd w:val="0"/>
              <w:snapToGrid w:val="0"/>
              <w:spacing w:line="360" w:lineRule="auto"/>
              <w:ind w:firstLine="5384" w:firstLineChars="2554"/>
              <w:jc w:val="left"/>
              <w:rPr>
                <w:rFonts w:asciiTheme="minorEastAsia" w:hAnsiTheme="minorEastAsia" w:eastAsiaTheme="minorEastAsia"/>
                <w:b/>
                <w:szCs w:val="21"/>
              </w:rPr>
            </w:pPr>
          </w:p>
          <w:p>
            <w:pPr>
              <w:widowControl/>
              <w:tabs>
                <w:tab w:val="left" w:pos="0"/>
              </w:tabs>
              <w:adjustRightInd w:val="0"/>
              <w:snapToGrid w:val="0"/>
              <w:spacing w:line="360" w:lineRule="auto"/>
              <w:ind w:firstLine="5285" w:firstLineChars="2507"/>
              <w:jc w:val="left"/>
              <w:rPr>
                <w:rFonts w:asciiTheme="minorEastAsia" w:hAnsiTheme="minorEastAsia" w:eastAsiaTheme="minorEastAsia"/>
                <w:b/>
                <w:szCs w:val="21"/>
              </w:rPr>
            </w:pPr>
            <w:r>
              <w:rPr>
                <w:rFonts w:hint="eastAsia" w:asciiTheme="minorEastAsia" w:hAnsiTheme="minorEastAsia" w:eastAsiaTheme="minorEastAsia"/>
                <w:b/>
                <w:szCs w:val="21"/>
              </w:rPr>
              <w:t xml:space="preserve"> 日期： </w:t>
            </w:r>
          </w:p>
          <w:p>
            <w:pPr>
              <w:widowControl/>
              <w:tabs>
                <w:tab w:val="left" w:pos="0"/>
              </w:tabs>
              <w:adjustRightInd w:val="0"/>
              <w:snapToGrid w:val="0"/>
              <w:spacing w:line="360" w:lineRule="auto"/>
              <w:jc w:val="left"/>
              <w:rPr>
                <w:rFonts w:asciiTheme="minorEastAsia" w:hAnsiTheme="minorEastAsia" w:eastAsiaTheme="minorEastAsia"/>
                <w:b/>
                <w:szCs w:val="21"/>
              </w:rPr>
            </w:pPr>
          </w:p>
        </w:tc>
      </w:tr>
      <w:bookmarkEnd w:id="0"/>
    </w:tbl>
    <w:p>
      <w:pPr>
        <w:spacing w:line="360" w:lineRule="auto"/>
        <w:rPr>
          <w:rFonts w:cs="宋体" w:asciiTheme="minorEastAsia" w:hAnsiTheme="minorEastAsia" w:eastAsiaTheme="minorEastAsia"/>
          <w:bCs/>
          <w:kern w:val="0"/>
          <w:szCs w:val="21"/>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left"/>
    </w:pPr>
    <w: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1857375" cy="361950"/>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lum bright="-10000" contrast="40000"/>
                  </a:blip>
                  <a:srcRect/>
                  <a:stretch>
                    <a:fillRect/>
                  </a:stretch>
                </pic:blipFill>
                <pic:spPr>
                  <a:xfrm>
                    <a:off x="0" y="0"/>
                    <a:ext cx="1857375" cy="361950"/>
                  </a:xfrm>
                  <a:prstGeom prst="rect">
                    <a:avLst/>
                  </a:prstGeom>
                  <a:noFill/>
                  <a:ln w="9525">
                    <a:noFill/>
                    <a:miter lim="800000"/>
                    <a:headEnd/>
                    <a:tailEnd/>
                  </a:ln>
                </pic:spPr>
              </pic:pic>
            </a:graphicData>
          </a:graphic>
        </wp:anchor>
      </w:drawing>
    </w:r>
  </w:p>
  <w:p>
    <w:pPr>
      <w:pStyle w:val="4"/>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5612E4"/>
    <w:rsid w:val="00001B27"/>
    <w:rsid w:val="00005909"/>
    <w:rsid w:val="0000676D"/>
    <w:rsid w:val="00027AA5"/>
    <w:rsid w:val="000331E4"/>
    <w:rsid w:val="00045869"/>
    <w:rsid w:val="000533F1"/>
    <w:rsid w:val="000576A0"/>
    <w:rsid w:val="00061366"/>
    <w:rsid w:val="000660F0"/>
    <w:rsid w:val="00067119"/>
    <w:rsid w:val="0006774E"/>
    <w:rsid w:val="000814B2"/>
    <w:rsid w:val="00094495"/>
    <w:rsid w:val="000C6731"/>
    <w:rsid w:val="000D0F1B"/>
    <w:rsid w:val="000F2C67"/>
    <w:rsid w:val="000F409C"/>
    <w:rsid w:val="001247FC"/>
    <w:rsid w:val="001348EF"/>
    <w:rsid w:val="0019089E"/>
    <w:rsid w:val="00197EC6"/>
    <w:rsid w:val="001B2259"/>
    <w:rsid w:val="001D0707"/>
    <w:rsid w:val="001F5AEA"/>
    <w:rsid w:val="00224CC2"/>
    <w:rsid w:val="00232FA8"/>
    <w:rsid w:val="002379BB"/>
    <w:rsid w:val="00242881"/>
    <w:rsid w:val="002641E5"/>
    <w:rsid w:val="00271EA0"/>
    <w:rsid w:val="00284E3E"/>
    <w:rsid w:val="002D27C5"/>
    <w:rsid w:val="002F560B"/>
    <w:rsid w:val="002F6EC4"/>
    <w:rsid w:val="00300253"/>
    <w:rsid w:val="0031502F"/>
    <w:rsid w:val="003317D7"/>
    <w:rsid w:val="0034756F"/>
    <w:rsid w:val="00362212"/>
    <w:rsid w:val="00364CEB"/>
    <w:rsid w:val="00381D34"/>
    <w:rsid w:val="003919EE"/>
    <w:rsid w:val="00394A1C"/>
    <w:rsid w:val="003A1F39"/>
    <w:rsid w:val="003B7D68"/>
    <w:rsid w:val="003D328B"/>
    <w:rsid w:val="003E05C9"/>
    <w:rsid w:val="003F1B6C"/>
    <w:rsid w:val="00440BFD"/>
    <w:rsid w:val="00443CBF"/>
    <w:rsid w:val="004478A4"/>
    <w:rsid w:val="00452D33"/>
    <w:rsid w:val="0046288B"/>
    <w:rsid w:val="00474952"/>
    <w:rsid w:val="004776B0"/>
    <w:rsid w:val="00481581"/>
    <w:rsid w:val="004844A0"/>
    <w:rsid w:val="00484957"/>
    <w:rsid w:val="004B01E1"/>
    <w:rsid w:val="004B0863"/>
    <w:rsid w:val="004B718F"/>
    <w:rsid w:val="004C03E1"/>
    <w:rsid w:val="004F0EAF"/>
    <w:rsid w:val="004F24CD"/>
    <w:rsid w:val="004F3DB3"/>
    <w:rsid w:val="00500D9F"/>
    <w:rsid w:val="0050610C"/>
    <w:rsid w:val="0052201F"/>
    <w:rsid w:val="0052339C"/>
    <w:rsid w:val="005301C2"/>
    <w:rsid w:val="00531FEA"/>
    <w:rsid w:val="00546A6F"/>
    <w:rsid w:val="00553F11"/>
    <w:rsid w:val="005540D6"/>
    <w:rsid w:val="00554C33"/>
    <w:rsid w:val="005612E4"/>
    <w:rsid w:val="005652FB"/>
    <w:rsid w:val="005765BB"/>
    <w:rsid w:val="0058335C"/>
    <w:rsid w:val="005A1872"/>
    <w:rsid w:val="005A267B"/>
    <w:rsid w:val="005A26A0"/>
    <w:rsid w:val="005B0516"/>
    <w:rsid w:val="005C3195"/>
    <w:rsid w:val="005C75A9"/>
    <w:rsid w:val="005D1F93"/>
    <w:rsid w:val="00602E2A"/>
    <w:rsid w:val="00606E3D"/>
    <w:rsid w:val="00614168"/>
    <w:rsid w:val="00661C29"/>
    <w:rsid w:val="006628C7"/>
    <w:rsid w:val="0067292A"/>
    <w:rsid w:val="00680240"/>
    <w:rsid w:val="00681907"/>
    <w:rsid w:val="00684F5E"/>
    <w:rsid w:val="006853EF"/>
    <w:rsid w:val="006C1CD7"/>
    <w:rsid w:val="006C3F17"/>
    <w:rsid w:val="006C7243"/>
    <w:rsid w:val="006D3F93"/>
    <w:rsid w:val="006D5E9F"/>
    <w:rsid w:val="006D7F7C"/>
    <w:rsid w:val="006E5587"/>
    <w:rsid w:val="006F20FD"/>
    <w:rsid w:val="00727B13"/>
    <w:rsid w:val="007352AE"/>
    <w:rsid w:val="00753B8A"/>
    <w:rsid w:val="0076609B"/>
    <w:rsid w:val="007725D5"/>
    <w:rsid w:val="007B2350"/>
    <w:rsid w:val="007D0068"/>
    <w:rsid w:val="007E0EFF"/>
    <w:rsid w:val="007F3785"/>
    <w:rsid w:val="00810934"/>
    <w:rsid w:val="008359CF"/>
    <w:rsid w:val="00862CB7"/>
    <w:rsid w:val="00867592"/>
    <w:rsid w:val="008843E9"/>
    <w:rsid w:val="00884D6F"/>
    <w:rsid w:val="00895EF0"/>
    <w:rsid w:val="008963D9"/>
    <w:rsid w:val="008A4123"/>
    <w:rsid w:val="008B3926"/>
    <w:rsid w:val="008D6DD4"/>
    <w:rsid w:val="008E2FA7"/>
    <w:rsid w:val="00902EBC"/>
    <w:rsid w:val="00903A4B"/>
    <w:rsid w:val="009369EF"/>
    <w:rsid w:val="00951248"/>
    <w:rsid w:val="00960D08"/>
    <w:rsid w:val="009658A6"/>
    <w:rsid w:val="00971C0E"/>
    <w:rsid w:val="00972A44"/>
    <w:rsid w:val="0098131E"/>
    <w:rsid w:val="00986490"/>
    <w:rsid w:val="009F6D3A"/>
    <w:rsid w:val="00A110E1"/>
    <w:rsid w:val="00A1321E"/>
    <w:rsid w:val="00A33A8F"/>
    <w:rsid w:val="00A42734"/>
    <w:rsid w:val="00A672DE"/>
    <w:rsid w:val="00A70E53"/>
    <w:rsid w:val="00A84D9C"/>
    <w:rsid w:val="00A850AA"/>
    <w:rsid w:val="00A9439E"/>
    <w:rsid w:val="00AA1452"/>
    <w:rsid w:val="00AC31A1"/>
    <w:rsid w:val="00AC78D2"/>
    <w:rsid w:val="00AD0E04"/>
    <w:rsid w:val="00AD2725"/>
    <w:rsid w:val="00AD2F37"/>
    <w:rsid w:val="00AF2D41"/>
    <w:rsid w:val="00B144DC"/>
    <w:rsid w:val="00B17271"/>
    <w:rsid w:val="00B3361E"/>
    <w:rsid w:val="00B37615"/>
    <w:rsid w:val="00B50714"/>
    <w:rsid w:val="00B76360"/>
    <w:rsid w:val="00B8066A"/>
    <w:rsid w:val="00B824AF"/>
    <w:rsid w:val="00B92B03"/>
    <w:rsid w:val="00BB43C0"/>
    <w:rsid w:val="00BC1190"/>
    <w:rsid w:val="00BC654A"/>
    <w:rsid w:val="00BD6333"/>
    <w:rsid w:val="00BE621A"/>
    <w:rsid w:val="00BF1AB3"/>
    <w:rsid w:val="00C4477C"/>
    <w:rsid w:val="00C44CBB"/>
    <w:rsid w:val="00C90ACB"/>
    <w:rsid w:val="00C91EFD"/>
    <w:rsid w:val="00CA70FD"/>
    <w:rsid w:val="00CB0920"/>
    <w:rsid w:val="00CB12E9"/>
    <w:rsid w:val="00CC5394"/>
    <w:rsid w:val="00CD427F"/>
    <w:rsid w:val="00CE0C92"/>
    <w:rsid w:val="00CF5A43"/>
    <w:rsid w:val="00D04CAA"/>
    <w:rsid w:val="00D07E27"/>
    <w:rsid w:val="00D22461"/>
    <w:rsid w:val="00D32544"/>
    <w:rsid w:val="00D424E1"/>
    <w:rsid w:val="00D51B63"/>
    <w:rsid w:val="00D56772"/>
    <w:rsid w:val="00D62F65"/>
    <w:rsid w:val="00D85F58"/>
    <w:rsid w:val="00DB16A0"/>
    <w:rsid w:val="00DB7D7F"/>
    <w:rsid w:val="00DD4885"/>
    <w:rsid w:val="00DD696B"/>
    <w:rsid w:val="00DE4D49"/>
    <w:rsid w:val="00E01986"/>
    <w:rsid w:val="00E05D4A"/>
    <w:rsid w:val="00E21713"/>
    <w:rsid w:val="00E23920"/>
    <w:rsid w:val="00E249E9"/>
    <w:rsid w:val="00E37C93"/>
    <w:rsid w:val="00E441E4"/>
    <w:rsid w:val="00E54C43"/>
    <w:rsid w:val="00E66035"/>
    <w:rsid w:val="00E66323"/>
    <w:rsid w:val="00E720BB"/>
    <w:rsid w:val="00E7397E"/>
    <w:rsid w:val="00E749AB"/>
    <w:rsid w:val="00E806F8"/>
    <w:rsid w:val="00E909C8"/>
    <w:rsid w:val="00E9670D"/>
    <w:rsid w:val="00EA5984"/>
    <w:rsid w:val="00EB0341"/>
    <w:rsid w:val="00EC071C"/>
    <w:rsid w:val="00ED4D56"/>
    <w:rsid w:val="00ED6364"/>
    <w:rsid w:val="00EE3467"/>
    <w:rsid w:val="00EE4E2A"/>
    <w:rsid w:val="00EF6CC5"/>
    <w:rsid w:val="00F03CBD"/>
    <w:rsid w:val="00F24E53"/>
    <w:rsid w:val="00F24F20"/>
    <w:rsid w:val="00F62800"/>
    <w:rsid w:val="00F66F38"/>
    <w:rsid w:val="00F96A97"/>
    <w:rsid w:val="00FA6167"/>
    <w:rsid w:val="00FB38CD"/>
    <w:rsid w:val="00FC7471"/>
    <w:rsid w:val="00FD18D6"/>
    <w:rsid w:val="00FE6804"/>
    <w:rsid w:val="00FE74FB"/>
    <w:rsid w:val="00FF7571"/>
    <w:rsid w:val="065760B4"/>
    <w:rsid w:val="207F7B06"/>
    <w:rsid w:val="24A776A1"/>
    <w:rsid w:val="2548190E"/>
    <w:rsid w:val="30A90FF0"/>
    <w:rsid w:val="3CDF2599"/>
    <w:rsid w:val="419C0CC2"/>
    <w:rsid w:val="49166DE6"/>
    <w:rsid w:val="57605062"/>
    <w:rsid w:val="5DA051FC"/>
    <w:rsid w:val="62677703"/>
    <w:rsid w:val="638B23A0"/>
    <w:rsid w:val="6C494FFC"/>
    <w:rsid w:val="6FA678A5"/>
    <w:rsid w:val="7C3551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Calibri" w:hAnsi="Calibri"/>
      <w:kern w:val="0"/>
      <w:sz w:val="24"/>
      <w:szCs w:val="24"/>
    </w:rPr>
  </w:style>
  <w:style w:type="table" w:styleId="7">
    <w:name w:val="Table Grid"/>
    <w:basedOn w:val="6"/>
    <w:qFormat/>
    <w:locke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basedOn w:val="8"/>
    <w:qFormat/>
    <w:uiPriority w:val="99"/>
    <w:rPr>
      <w:rFonts w:cs="Times New Roman"/>
      <w:b/>
      <w:bCs/>
    </w:rPr>
  </w:style>
  <w:style w:type="character" w:customStyle="1" w:styleId="10">
    <w:name w:val="页眉 Char"/>
    <w:basedOn w:val="8"/>
    <w:link w:val="4"/>
    <w:qFormat/>
    <w:locked/>
    <w:uiPriority w:val="99"/>
    <w:rPr>
      <w:rFonts w:ascii="Times New Roman" w:hAnsi="Times New Roman" w:cs="Times New Roman"/>
      <w:sz w:val="18"/>
      <w:szCs w:val="18"/>
    </w:rPr>
  </w:style>
  <w:style w:type="character" w:customStyle="1" w:styleId="11">
    <w:name w:val="页脚 Char"/>
    <w:basedOn w:val="8"/>
    <w:link w:val="3"/>
    <w:semiHidden/>
    <w:qFormat/>
    <w:locked/>
    <w:uiPriority w:val="99"/>
    <w:rPr>
      <w:rFonts w:ascii="Times New Roman" w:hAnsi="Times New Roman" w:cs="Times New Roman"/>
      <w:sz w:val="18"/>
      <w:szCs w:val="18"/>
    </w:rPr>
  </w:style>
  <w:style w:type="character" w:customStyle="1" w:styleId="12">
    <w:name w:val="批注框文本 Char"/>
    <w:basedOn w:val="8"/>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1467B3-CD20-4721-BD02-FE66361C25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643</Words>
  <Characters>3666</Characters>
  <Lines>30</Lines>
  <Paragraphs>8</Paragraphs>
  <TotalTime>0</TotalTime>
  <ScaleCrop>false</ScaleCrop>
  <LinksUpToDate>false</LinksUpToDate>
  <CharactersWithSpaces>4301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2017-11-17T10:47:00Z</dcterms:created>
  <dc:creator>曹文芳</dc:creator>
  <cp:lastModifiedBy>曹旭红</cp:lastModifiedBy>
  <cp:lastPrinted>2019-05-06T05:26:00Z</cp:lastPrinted>
  <dcterms:modified xsi:type="dcterms:W3CDTF">2020-07-28T09:56:57Z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