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6"/>
          <w:rFonts w:hint="eastAsia" w:ascii="黑体" w:hAnsi="黑体" w:eastAsia="黑体" w:cs="宋体"/>
          <w:kern w:val="0"/>
          <w:sz w:val="28"/>
          <w:szCs w:val="28"/>
        </w:rPr>
      </w:pPr>
      <w:bookmarkStart w:id="0" w:name="_GoBack"/>
      <w:bookmarkEnd w:id="0"/>
      <w:r>
        <w:rPr>
          <w:rStyle w:val="6"/>
          <w:rFonts w:hint="eastAsia" w:ascii="黑体" w:hAnsi="黑体" w:eastAsia="黑体" w:cs="宋体"/>
          <w:kern w:val="0"/>
          <w:sz w:val="28"/>
          <w:szCs w:val="28"/>
        </w:rPr>
        <w:t>新疆银行净值型人民币理财产品风险揭示书</w:t>
      </w:r>
    </w:p>
    <w:p>
      <w:pPr>
        <w:spacing w:line="400" w:lineRule="exact"/>
        <w:jc w:val="center"/>
        <w:rPr>
          <w:rStyle w:val="6"/>
          <w:rFonts w:hint="eastAsia" w:ascii="黑体" w:hAnsi="黑体" w:eastAsia="黑体" w:cs="宋体"/>
          <w:kern w:val="0"/>
          <w:sz w:val="28"/>
          <w:szCs w:val="28"/>
        </w:rPr>
      </w:pPr>
      <w:r>
        <w:rPr>
          <w:rStyle w:val="6"/>
          <w:rFonts w:hint="eastAsia" w:ascii="宋体" w:hAnsi="宋体" w:cs="宋体"/>
          <w:kern w:val="0"/>
          <w:sz w:val="18"/>
          <w:szCs w:val="18"/>
        </w:rPr>
        <w:t>理财产品过往业绩不代表其未来表现，不等于理财产品实际收益</w:t>
      </w:r>
      <w:r>
        <w:rPr>
          <w:rStyle w:val="6"/>
          <w:rFonts w:cs="宋体"/>
          <w:bCs w:val="0"/>
          <w:sz w:val="18"/>
          <w:szCs w:val="18"/>
        </w:rPr>
        <w:t xml:space="preserve"> </w:t>
      </w:r>
    </w:p>
    <w:p>
      <w:pPr>
        <w:widowControl/>
        <w:spacing w:line="400" w:lineRule="exact"/>
        <w:jc w:val="center"/>
        <w:rPr>
          <w:rFonts w:ascii="宋体" w:hAnsi="宋体" w:cs="宋体"/>
          <w:b/>
          <w:bCs/>
          <w:kern w:val="0"/>
        </w:rPr>
      </w:pPr>
      <w:r>
        <w:rPr>
          <w:rStyle w:val="6"/>
          <w:rFonts w:hint="eastAsia" w:ascii="宋体" w:hAnsi="宋体" w:cs="宋体"/>
          <w:kern w:val="0"/>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spacing w:line="400" w:lineRule="exact"/>
        <w:ind w:firstLine="480" w:firstLineChars="200"/>
        <w:rPr>
          <w:rFonts w:ascii="仿宋" w:hAnsi="仿宋" w:eastAsia="仿宋" w:cs="方正仿宋_GBK"/>
          <w:color w:val="000000"/>
          <w:kern w:val="0"/>
          <w:sz w:val="24"/>
          <w:szCs w:val="24"/>
        </w:rPr>
      </w:pPr>
      <w:r>
        <w:rPr>
          <w:rFonts w:hint="eastAsia" w:ascii="仿宋" w:hAnsi="仿宋" w:eastAsia="仿宋" w:cs="方正仿宋_GBK"/>
          <w:color w:val="000000"/>
          <w:kern w:val="0"/>
          <w:sz w:val="24"/>
          <w:szCs w:val="24"/>
        </w:rPr>
        <w:t>本产品为封闭式净值型理财产品，期限</w:t>
      </w:r>
      <w:r>
        <w:rPr>
          <w:rFonts w:hint="eastAsia" w:ascii="仿宋" w:hAnsi="仿宋" w:eastAsia="仿宋" w:cs="方正仿宋_GBK"/>
          <w:color w:val="000000"/>
          <w:kern w:val="0"/>
          <w:sz w:val="24"/>
          <w:szCs w:val="24"/>
          <w:highlight w:val="none"/>
        </w:rPr>
        <w:t>：</w:t>
      </w:r>
      <w:r>
        <w:rPr>
          <w:rFonts w:hint="eastAsia" w:ascii="仿宋" w:hAnsi="仿宋" w:eastAsia="仿宋" w:cs="方正仿宋_GBK"/>
          <w:color w:val="000000"/>
          <w:kern w:val="0"/>
          <w:sz w:val="24"/>
          <w:szCs w:val="24"/>
          <w:highlight w:val="none"/>
          <w:lang w:val="en-US" w:eastAsia="zh-CN"/>
        </w:rPr>
        <w:t>388</w:t>
      </w:r>
      <w:r>
        <w:rPr>
          <w:rFonts w:hint="eastAsia" w:ascii="仿宋" w:hAnsi="仿宋" w:eastAsia="仿宋" w:cs="方正仿宋_GBK"/>
          <w:color w:val="000000"/>
          <w:kern w:val="0"/>
          <w:sz w:val="24"/>
          <w:szCs w:val="24"/>
        </w:rPr>
        <w:t>天，</w:t>
      </w:r>
      <w:r>
        <w:rPr>
          <w:rFonts w:hint="eastAsia" w:ascii="仿宋" w:hAnsi="仿宋" w:eastAsia="仿宋"/>
          <w:sz w:val="24"/>
          <w:szCs w:val="24"/>
        </w:rPr>
        <w:t>本理财产品不保证本金和收益，本</w:t>
      </w:r>
      <w:r>
        <w:rPr>
          <w:rFonts w:hint="eastAsia" w:ascii="仿宋" w:hAnsi="仿宋" w:eastAsia="仿宋" w:cs="方正仿宋_GBK"/>
          <w:color w:val="000000"/>
          <w:kern w:val="0"/>
          <w:sz w:val="24"/>
          <w:szCs w:val="24"/>
        </w:rPr>
        <w:t>产品内部风险评级见下表：</w:t>
      </w:r>
    </w:p>
    <w:tbl>
      <w:tblPr>
        <w:tblStyle w:val="7"/>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Layout w:type="fixed"/>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Layout w:type="fixed"/>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Layout w:type="fixed"/>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Layout w:type="fixed"/>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Layout w:type="fixed"/>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Layout w:type="fixed"/>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仿宋" w:hAnsi="仿宋" w:eastAsia="仿宋" w:cs="方正仿宋_GBK"/>
          <w:b/>
          <w:color w:val="000000"/>
          <w:kern w:val="0"/>
          <w:sz w:val="24"/>
          <w:szCs w:val="24"/>
        </w:rPr>
        <w:t>客户投资本产品可能面临的风险主要包括但不限于以下风险：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w:t>
      </w:r>
      <w:r>
        <w:rPr>
          <w:rFonts w:ascii="华文仿宋" w:hAnsi="华文仿宋" w:eastAsia="华文仿宋"/>
          <w:b/>
          <w:sz w:val="24"/>
          <w:szCs w:val="24"/>
        </w:rPr>
        <w:t>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华文仿宋" w:hAnsi="华文仿宋" w:eastAsia="华文仿宋"/>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9、</w:t>
      </w:r>
      <w:r>
        <w:rPr>
          <w:rFonts w:ascii="华文仿宋" w:hAnsi="华文仿宋" w:eastAsia="华文仿宋"/>
          <w:b/>
          <w:sz w:val="24"/>
          <w:szCs w:val="24"/>
        </w:rPr>
        <w:t>税</w:t>
      </w:r>
      <w:r>
        <w:rPr>
          <w:rFonts w:hint="eastAsia" w:ascii="华文仿宋" w:hAnsi="华文仿宋" w:eastAsia="华文仿宋"/>
          <w:b/>
          <w:sz w:val="24"/>
          <w:szCs w:val="24"/>
        </w:rPr>
        <w:t>务</w:t>
      </w:r>
      <w:r>
        <w:rPr>
          <w:rFonts w:ascii="华文仿宋" w:hAnsi="华文仿宋" w:eastAsia="华文仿宋"/>
          <w:b/>
          <w:sz w:val="24"/>
          <w:szCs w:val="24"/>
        </w:rPr>
        <w:t>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ascii="华文仿宋" w:hAnsi="华文仿宋" w:eastAsia="华文仿宋"/>
          <w:b/>
          <w:sz w:val="24"/>
          <w:szCs w:val="24"/>
        </w:rPr>
      </w:pPr>
      <w:r>
        <w:rPr>
          <w:rFonts w:hint="eastAsia" w:ascii="华文仿宋" w:hAnsi="华文仿宋" w:eastAsia="华文仿宋"/>
          <w:b/>
          <w:sz w:val="24"/>
          <w:szCs w:val="24"/>
        </w:rPr>
        <w:t>11、最不利情形下的投资结果示例：</w:t>
      </w:r>
    </w:p>
    <w:p>
      <w:pPr>
        <w:widowControl/>
        <w:wordWrap w:val="0"/>
        <w:spacing w:before="75" w:after="75" w:line="400" w:lineRule="exact"/>
        <w:ind w:firstLine="482" w:firstLineChars="200"/>
        <w:jc w:val="left"/>
        <w:rPr>
          <w:rFonts w:ascii="华文仿宋" w:hAnsi="华文仿宋" w:eastAsia="华文仿宋"/>
          <w:b/>
          <w:sz w:val="24"/>
          <w:szCs w:val="24"/>
        </w:rPr>
      </w:pPr>
      <w:r>
        <w:rPr>
          <w:rFonts w:hint="eastAsia" w:ascii="华文仿宋" w:hAnsi="华文仿宋" w:eastAsia="华文仿宋"/>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 100,000.00×（ 0.99-1.00） = -1000（元）（测算收益不等于实际收益，投资须谨慎）</w:t>
      </w:r>
    </w:p>
    <w:p>
      <w:pPr>
        <w:spacing w:line="400" w:lineRule="exact"/>
        <w:ind w:firstLine="4560" w:firstLineChars="1900"/>
        <w:rPr>
          <w:rFonts w:ascii="华文仿宋" w:hAnsi="华文仿宋" w:eastAsia="华文仿宋"/>
          <w:b/>
          <w:sz w:val="24"/>
          <w:szCs w:val="24"/>
        </w:rPr>
      </w:pPr>
      <w:r>
        <w:rPr>
          <w:rFonts w:ascii="华文仿宋" w:hAnsi="华文仿宋" w:eastAsia="华文仿宋"/>
          <w:sz w:val="24"/>
          <w:szCs w:val="24"/>
        </w:rPr>
        <w:pict>
          <v:shape id="_x0000_s1026" o:spid="_x0000_s1026" o:spt="202" type="#_x0000_t202" style="position:absolute;left:0pt;margin-left:-49.5pt;margin-top:28.2pt;height:279.75pt;width:531.75pt;z-index:251658240;mso-width-relative:page;mso-height-relative:page;" coordsize="21600,21600" o:gfxdata="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rF+FtoAAAAKAQAADwAAAAAAAAABACAAAAAiAAAAZHJzL2Rvd25yZXYueG1sUEsBAhQA&#10;FAAAAAgAh07iQFA0Oc3wAQAA6QMAAA4AAAAAAAAAAQAgAAAAKQEAAGRycy9lMm9Eb2MueG1sUEsF&#10;BgAAAAAGAAYAWQEAAIsFAAAAAA==&#10;">
            <v:path/>
            <v:fill focussize="0,0"/>
            <v:stroke joinstyle="miter"/>
            <v:imagedata o:title=""/>
            <o:lock v:ext="edit"/>
            <v:textbox>
              <w:txbxContent>
                <w:p>
                  <w:pPr>
                    <w:spacing w:line="360" w:lineRule="exact"/>
                    <w:jc w:val="center"/>
                    <w:rPr>
                      <w:rFonts w:ascii="华文仿宋" w:hAnsi="华文仿宋" w:eastAsia="华文仿宋" w:cs="Arial"/>
                      <w:b/>
                      <w:szCs w:val="21"/>
                    </w:rPr>
                  </w:pPr>
                  <w:r>
                    <w:rPr>
                      <w:rFonts w:hint="eastAsia" w:ascii="华文仿宋" w:hAnsi="华文仿宋" w:eastAsia="华文仿宋" w:cs="Arial"/>
                      <w:b/>
                      <w:szCs w:val="21"/>
                    </w:rPr>
                    <w:t>客户确认栏</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本人已仔细阅读理财产品销售文件，己完全理解理财产品投资的性质和面临的风险，</w:t>
                  </w:r>
                  <w:r>
                    <w:rPr>
                      <w:rFonts w:hint="eastAsia" w:ascii="华文仿宋" w:hAnsi="华文仿宋" w:eastAsia="华文仿宋" w:cs="Times New Roman"/>
                      <w:b/>
                      <w:szCs w:val="21"/>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客户需抄录的内容：</w:t>
                  </w:r>
                  <w:r>
                    <w:rPr>
                      <w:rFonts w:hint="eastAsia" w:ascii="华文仿宋" w:hAnsi="华文仿宋" w:eastAsia="华文仿宋" w:cs="Times New Roman"/>
                      <w:b/>
                      <w:szCs w:val="21"/>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v:textbox>
          </v:shape>
        </w:pict>
      </w:r>
      <w:r>
        <w:rPr>
          <w:rFonts w:hint="eastAsia" w:ascii="华文仿宋" w:hAnsi="华文仿宋" w:eastAsia="华文仿宋"/>
          <w:b/>
          <w:sz w:val="24"/>
          <w:szCs w:val="24"/>
        </w:rPr>
        <w:t>风险揭示方：新疆银行股份有限公司</w:t>
      </w: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43B6133"/>
    <w:rsid w:val="06FF398C"/>
    <w:rsid w:val="07783F8F"/>
    <w:rsid w:val="07AE17DC"/>
    <w:rsid w:val="08963252"/>
    <w:rsid w:val="091C7FC3"/>
    <w:rsid w:val="0B7C2764"/>
    <w:rsid w:val="0DAC1D4C"/>
    <w:rsid w:val="0F003CC1"/>
    <w:rsid w:val="133C6CB8"/>
    <w:rsid w:val="19140CA5"/>
    <w:rsid w:val="1CB949CD"/>
    <w:rsid w:val="20187825"/>
    <w:rsid w:val="26143FE2"/>
    <w:rsid w:val="26E837E0"/>
    <w:rsid w:val="28905623"/>
    <w:rsid w:val="2A48533C"/>
    <w:rsid w:val="345B563C"/>
    <w:rsid w:val="35BB1B81"/>
    <w:rsid w:val="3D7A1A48"/>
    <w:rsid w:val="3F533B77"/>
    <w:rsid w:val="40CC1C85"/>
    <w:rsid w:val="50657F53"/>
    <w:rsid w:val="540063F5"/>
    <w:rsid w:val="66F62517"/>
    <w:rsid w:val="69130500"/>
    <w:rsid w:val="6C293EA4"/>
    <w:rsid w:val="76217A0F"/>
    <w:rsid w:val="786B040F"/>
    <w:rsid w:val="7BE21F89"/>
    <w:rsid w:val="7CFB6234"/>
    <w:rsid w:val="7E194A27"/>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99"/>
    <w:rPr>
      <w:rFonts w:cs="Times New Roman"/>
      <w:b/>
      <w:bCs/>
    </w:rPr>
  </w:style>
  <w:style w:type="character" w:customStyle="1" w:styleId="8">
    <w:name w:val="页眉 Char"/>
    <w:basedOn w:val="5"/>
    <w:link w:val="4"/>
    <w:qFormat/>
    <w:uiPriority w:val="99"/>
    <w:rPr>
      <w:sz w:val="18"/>
      <w:szCs w:val="18"/>
    </w:rPr>
  </w:style>
  <w:style w:type="character" w:customStyle="1" w:styleId="9">
    <w:name w:val="页脚 Char"/>
    <w:basedOn w:val="5"/>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5"/>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ScaleCrop>false</ScaleCrop>
  <LinksUpToDate>false</LinksUpToDate>
  <CharactersWithSpaces>2104</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曹旭红</cp:lastModifiedBy>
  <cp:lastPrinted>2019-03-13T10:49:00Z</cp:lastPrinted>
  <dcterms:modified xsi:type="dcterms:W3CDTF">2020-07-08T08:51:14Z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