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6"/>
          <w:rFonts w:hint="eastAsia" w:ascii="黑体" w:hAnsi="黑体" w:eastAsia="黑体" w:cs="宋体"/>
          <w:kern w:val="0"/>
          <w:sz w:val="28"/>
          <w:szCs w:val="28"/>
        </w:rPr>
      </w:pPr>
      <w:r>
        <w:rPr>
          <w:rStyle w:val="6"/>
          <w:rFonts w:hint="eastAsia" w:ascii="黑体" w:hAnsi="黑体" w:eastAsia="黑体" w:cs="宋体"/>
          <w:kern w:val="0"/>
          <w:sz w:val="28"/>
          <w:szCs w:val="28"/>
        </w:rPr>
        <w:t>新疆银行净值型人民币理财产品风险揭示书</w:t>
      </w:r>
    </w:p>
    <w:p>
      <w:pPr>
        <w:spacing w:line="400" w:lineRule="exact"/>
        <w:jc w:val="center"/>
        <w:rPr>
          <w:rStyle w:val="6"/>
          <w:rFonts w:hint="eastAsia" w:ascii="黑体" w:hAnsi="黑体" w:eastAsia="黑体" w:cs="宋体"/>
          <w:kern w:val="0"/>
          <w:sz w:val="28"/>
          <w:szCs w:val="28"/>
        </w:rPr>
      </w:pPr>
      <w:r>
        <w:rPr>
          <w:rStyle w:val="6"/>
          <w:rFonts w:hint="eastAsia" w:ascii="宋体" w:hAnsi="宋体" w:cs="宋体"/>
          <w:kern w:val="0"/>
          <w:sz w:val="18"/>
          <w:szCs w:val="18"/>
        </w:rPr>
        <w:t>理财产品过往业绩不代表其未来表现，不等于理财产品实际收益</w:t>
      </w:r>
      <w:r>
        <w:rPr>
          <w:rStyle w:val="6"/>
          <w:rFonts w:cs="宋体"/>
          <w:bCs w:val="0"/>
          <w:sz w:val="18"/>
          <w:szCs w:val="18"/>
        </w:rPr>
        <w:t xml:space="preserve"> </w:t>
      </w:r>
    </w:p>
    <w:p>
      <w:pPr>
        <w:widowControl/>
        <w:spacing w:line="400" w:lineRule="exact"/>
        <w:jc w:val="center"/>
        <w:rPr>
          <w:rFonts w:ascii="宋体" w:hAnsi="宋体" w:cs="宋体"/>
          <w:b/>
          <w:bCs/>
          <w:kern w:val="0"/>
        </w:rPr>
      </w:pPr>
      <w:r>
        <w:rPr>
          <w:rStyle w:val="6"/>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0" w:firstLineChars="200"/>
        <w:rPr>
          <w:rFonts w:ascii="仿宋" w:hAnsi="仿宋" w:eastAsia="仿宋" w:cs="方正仿宋_GBK"/>
          <w:color w:val="000000"/>
          <w:kern w:val="0"/>
          <w:sz w:val="24"/>
          <w:szCs w:val="24"/>
        </w:rPr>
      </w:pPr>
      <w:r>
        <w:rPr>
          <w:rFonts w:hint="eastAsia" w:ascii="仿宋" w:hAnsi="仿宋" w:eastAsia="仿宋" w:cs="方正仿宋_GBK"/>
          <w:color w:val="000000"/>
          <w:kern w:val="0"/>
          <w:sz w:val="24"/>
          <w:szCs w:val="24"/>
        </w:rPr>
        <w:t>本产品为封闭式净值型理财产品，期限</w:t>
      </w:r>
      <w:r>
        <w:rPr>
          <w:rFonts w:hint="eastAsia" w:ascii="仿宋" w:hAnsi="仿宋" w:eastAsia="仿宋" w:cs="方正仿宋_GBK"/>
          <w:color w:val="000000"/>
          <w:kern w:val="0"/>
          <w:sz w:val="24"/>
          <w:szCs w:val="24"/>
          <w:highlight w:val="none"/>
        </w:rPr>
        <w:t>：</w:t>
      </w:r>
      <w:r>
        <w:rPr>
          <w:rFonts w:hint="eastAsia" w:ascii="仿宋" w:hAnsi="仿宋" w:eastAsia="仿宋" w:cs="方正仿宋_GBK"/>
          <w:color w:val="000000"/>
          <w:kern w:val="0"/>
          <w:sz w:val="24"/>
          <w:szCs w:val="24"/>
          <w:highlight w:val="none"/>
          <w:lang w:val="en-US" w:eastAsia="zh-CN"/>
        </w:rPr>
        <w:t>242</w:t>
      </w:r>
      <w:r>
        <w:rPr>
          <w:rFonts w:hint="eastAsia" w:ascii="仿宋" w:hAnsi="仿宋" w:eastAsia="仿宋" w:cs="方正仿宋_GBK"/>
          <w:color w:val="000000"/>
          <w:kern w:val="0"/>
          <w:sz w:val="24"/>
          <w:szCs w:val="24"/>
        </w:rPr>
        <w:t>天，</w:t>
      </w:r>
      <w:r>
        <w:rPr>
          <w:rFonts w:hint="eastAsia" w:ascii="仿宋" w:hAnsi="仿宋" w:eastAsia="仿宋"/>
          <w:sz w:val="24"/>
          <w:szCs w:val="24"/>
        </w:rPr>
        <w:t>本理财产品不保证本金和收益，本</w:t>
      </w:r>
      <w:r>
        <w:rPr>
          <w:rFonts w:hint="eastAsia" w:ascii="仿宋" w:hAnsi="仿宋" w:eastAsia="仿宋" w:cs="方正仿宋_GBK"/>
          <w:color w:val="000000"/>
          <w:kern w:val="0"/>
          <w:sz w:val="24"/>
          <w:szCs w:val="24"/>
        </w:rPr>
        <w:t>产品内部风险评级见下表：</w:t>
      </w:r>
    </w:p>
    <w:tbl>
      <w:tblPr>
        <w:tblStyle w:val="7"/>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Layout w:type="fixed"/>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Layout w:type="fixed"/>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2" w:firstLineChars="200"/>
        <w:jc w:val="left"/>
        <w:rPr>
          <w:rFonts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w:t>
      </w:r>
      <w:bookmarkStart w:id="0" w:name="_GoBack"/>
      <w:bookmarkEnd w:id="0"/>
      <w:r>
        <w:rPr>
          <w:rFonts w:hint="eastAsia" w:ascii="华文仿宋" w:hAnsi="华文仿宋" w:eastAsia="华文仿宋"/>
          <w:b/>
          <w:sz w:val="24"/>
          <w:szCs w:val="24"/>
        </w:rPr>
        <w:t>理人不收取浮动管理费，客户最终收益为： 100,000.00×（ 0.99-1.00） = -1000（元）（测算收益不等于实际收益，投资须谨慎）</w:t>
      </w:r>
    </w:p>
    <w:p>
      <w:pPr>
        <w:spacing w:line="400" w:lineRule="exact"/>
        <w:ind w:firstLine="4560" w:firstLineChars="1900"/>
        <w:rPr>
          <w:rFonts w:ascii="华文仿宋" w:hAnsi="华文仿宋" w:eastAsia="华文仿宋"/>
          <w:b/>
          <w:sz w:val="24"/>
          <w:szCs w:val="24"/>
        </w:rPr>
      </w:pPr>
      <w:r>
        <w:rPr>
          <w:rFonts w:ascii="华文仿宋" w:hAnsi="华文仿宋" w:eastAsia="华文仿宋"/>
          <w:sz w:val="24"/>
          <w:szCs w:val="24"/>
        </w:rPr>
        <w:pict>
          <v:shape id="_x0000_s1026" o:spid="_x0000_s1026" o:spt="202" type="#_x0000_t202" style="position:absolute;left:0pt;margin-left:-49.5pt;margin-top:28.2pt;height:279.75pt;width:531.75pt;z-index:251658240;mso-width-relative:page;mso-height-relative:page;"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grF+FtoAAAAKAQAADwAAAAAAAAABACAAAAAiAAAAZHJzL2Rvd25yZXYueG1sUEsBAhQA&#10;FAAAAAgAh07iQFA0Oc3wAQAA6QMAAA4AAAAAAAAAAQAgAAAAKQEAAGRycy9lMm9Eb2MueG1sUEsF&#10;BgAAAAAGAAYAWQEAAIsFAAAAAA==&#10;">
            <v:path/>
            <v:fill focussize="0,0"/>
            <v:stroke joinstyle="miter"/>
            <v:imagedata o:title=""/>
            <o:lock v:ext="edit"/>
            <v:textbox>
              <w:txbxContent>
                <w:p>
                  <w:pPr>
                    <w:spacing w:line="360" w:lineRule="exact"/>
                    <w:jc w:val="center"/>
                    <w:rPr>
                      <w:rFonts w:ascii="华文仿宋" w:hAnsi="华文仿宋" w:eastAsia="华文仿宋" w:cs="Arial"/>
                      <w:b/>
                      <w:szCs w:val="21"/>
                    </w:rPr>
                  </w:pPr>
                  <w:r>
                    <w:rPr>
                      <w:rFonts w:hint="eastAsia" w:ascii="华文仿宋" w:hAnsi="华文仿宋" w:eastAsia="华文仿宋" w:cs="Arial"/>
                      <w:b/>
                      <w:szCs w:val="21"/>
                    </w:rPr>
                    <w:t>客户确认栏</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本人已仔细阅读理财产品销售文件，己完全理解理财产品投资的性质和面临的风险，</w:t>
                  </w:r>
                  <w:r>
                    <w:rPr>
                      <w:rFonts w:hint="eastAsia" w:ascii="华文仿宋" w:hAnsi="华文仿宋" w:eastAsia="华文仿宋" w:cs="Times New Roman"/>
                      <w:b/>
                      <w:szCs w:val="21"/>
                    </w:rPr>
                    <w:t>本人确认新疆银行相关业务人员对于理财产品销售文件中限制本人权利、增加本人义务以及有关免除、限制新疆银行责任或新疆银行单方面拥有某些权利的条款已向本人予以说明，本人完全理解并自愿接受。</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客户需抄录的内容：</w:t>
                  </w:r>
                  <w:r>
                    <w:rPr>
                      <w:rFonts w:hint="eastAsia" w:ascii="华文仿宋" w:hAnsi="华文仿宋" w:eastAsia="华文仿宋" w:cs="Times New Roman"/>
                      <w:b/>
                      <w:szCs w:val="21"/>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w:r>
      <w:r>
        <w:rPr>
          <w:rFonts w:hint="eastAsia" w:ascii="华文仿宋" w:hAnsi="华文仿宋" w:eastAsia="华文仿宋"/>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3423707"/>
    <w:rsid w:val="043B6133"/>
    <w:rsid w:val="06FF398C"/>
    <w:rsid w:val="07783F8F"/>
    <w:rsid w:val="07AE17DC"/>
    <w:rsid w:val="08186A6D"/>
    <w:rsid w:val="08963252"/>
    <w:rsid w:val="091C7FC3"/>
    <w:rsid w:val="0DAC1D4C"/>
    <w:rsid w:val="0F003CC1"/>
    <w:rsid w:val="133C6CB8"/>
    <w:rsid w:val="16CF3020"/>
    <w:rsid w:val="19140CA5"/>
    <w:rsid w:val="1CB949CD"/>
    <w:rsid w:val="20187825"/>
    <w:rsid w:val="26143FE2"/>
    <w:rsid w:val="26E837E0"/>
    <w:rsid w:val="28905623"/>
    <w:rsid w:val="2A48533C"/>
    <w:rsid w:val="345B563C"/>
    <w:rsid w:val="35BB1B81"/>
    <w:rsid w:val="3D7A1A48"/>
    <w:rsid w:val="3F533B77"/>
    <w:rsid w:val="40CC1C85"/>
    <w:rsid w:val="435A1985"/>
    <w:rsid w:val="50657F53"/>
    <w:rsid w:val="66F62517"/>
    <w:rsid w:val="6C293EA4"/>
    <w:rsid w:val="76217A0F"/>
    <w:rsid w:val="786B040F"/>
    <w:rsid w:val="7BE21F89"/>
    <w:rsid w:val="7CFB6234"/>
    <w:rsid w:val="7E194A2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customStyle="1" w:styleId="8">
    <w:name w:val="页眉 Char"/>
    <w:basedOn w:val="5"/>
    <w:link w:val="4"/>
    <w:qFormat/>
    <w:uiPriority w:val="99"/>
    <w:rPr>
      <w:sz w:val="18"/>
      <w:szCs w:val="18"/>
    </w:rPr>
  </w:style>
  <w:style w:type="character" w:customStyle="1" w:styleId="9">
    <w:name w:val="页脚 Char"/>
    <w:basedOn w:val="5"/>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5"/>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ScaleCrop>false</ScaleCrop>
  <LinksUpToDate>false</LinksUpToDate>
  <CharactersWithSpaces>2104</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2020-07-01T09:07:45Z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