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beforeLines="50" w:line="320" w:lineRule="exact"/>
        <w:rPr>
          <w:rFonts w:ascii="方正大黑简体" w:hAnsi="宋体" w:eastAsia="方正大黑简体" w:cs="宋体"/>
          <w:b/>
          <w:sz w:val="32"/>
          <w:szCs w:val="32"/>
        </w:rPr>
      </w:pPr>
    </w:p>
    <w:p>
      <w:pPr>
        <w:autoSpaceDE w:val="0"/>
        <w:autoSpaceDN w:val="0"/>
        <w:adjustRightInd w:val="0"/>
        <w:snapToGrid w:val="0"/>
        <w:spacing w:beforeLines="50" w:line="320" w:lineRule="exact"/>
        <w:jc w:val="center"/>
        <w:rPr>
          <w:rFonts w:ascii="方正大黑简体" w:hAnsi="宋体" w:eastAsia="方正大黑简体" w:cs="宋体"/>
          <w:b/>
          <w:sz w:val="32"/>
          <w:szCs w:val="32"/>
        </w:rPr>
      </w:pPr>
      <w:r>
        <w:rPr>
          <w:rFonts w:hint="eastAsia" w:ascii="方正大黑简体" w:hAnsi="宋体" w:eastAsia="方正大黑简体" w:cs="宋体"/>
          <w:b/>
          <w:sz w:val="32"/>
          <w:szCs w:val="32"/>
        </w:rPr>
        <w:t>新疆银行人民币同业理财产品协议书</w:t>
      </w:r>
    </w:p>
    <w:p>
      <w:pPr>
        <w:autoSpaceDE w:val="0"/>
        <w:autoSpaceDN w:val="0"/>
        <w:adjustRightInd w:val="0"/>
        <w:snapToGrid w:val="0"/>
        <w:spacing w:beforeLines="50" w:line="240" w:lineRule="exact"/>
        <w:jc w:val="center"/>
        <w:rPr>
          <w:rFonts w:ascii="宋体" w:hAnsi="宋体" w:cs="宋体"/>
          <w:b/>
          <w:sz w:val="18"/>
          <w:szCs w:val="18"/>
        </w:rPr>
      </w:pPr>
      <w:r>
        <w:rPr>
          <w:rFonts w:hint="eastAsia" w:ascii="宋体" w:hAnsi="宋体" w:cstheme="minorBidi"/>
          <w:b/>
          <w:bCs/>
          <w:sz w:val="18"/>
          <w:szCs w:val="18"/>
        </w:rPr>
        <w:t>理财产品过往业绩不代表其未来表现，不等于理财产品实际收益</w:t>
      </w:r>
    </w:p>
    <w:p>
      <w:pPr>
        <w:autoSpaceDE w:val="0"/>
        <w:autoSpaceDN w:val="0"/>
        <w:adjustRightInd w:val="0"/>
        <w:snapToGrid w:val="0"/>
        <w:spacing w:beforeLines="50" w:line="240" w:lineRule="exact"/>
        <w:jc w:val="center"/>
        <w:rPr>
          <w:rFonts w:ascii="宋体" w:cs="宋体"/>
          <w:b/>
          <w:sz w:val="18"/>
          <w:szCs w:val="18"/>
        </w:rPr>
      </w:pPr>
      <w:r>
        <w:rPr>
          <w:rFonts w:hint="eastAsia" w:ascii="宋体" w:hAnsi="宋体" w:cs="宋体"/>
          <w:b/>
          <w:sz w:val="18"/>
          <w:szCs w:val="18"/>
        </w:rPr>
        <w:t>理财非存款、产品有风险、投资须谨慎</w:t>
      </w:r>
    </w:p>
    <w:p>
      <w:pPr>
        <w:autoSpaceDE w:val="0"/>
        <w:autoSpaceDN w:val="0"/>
        <w:adjustRightInd w:val="0"/>
        <w:snapToGrid w:val="0"/>
        <w:spacing w:beforeLines="50" w:line="320" w:lineRule="exact"/>
        <w:jc w:val="center"/>
        <w:rPr>
          <w:rFonts w:ascii="宋体" w:cs="宋体"/>
          <w:b/>
          <w:sz w:val="18"/>
          <w:szCs w:val="18"/>
          <w:u w:val="single"/>
        </w:rPr>
      </w:pPr>
    </w:p>
    <w:p>
      <w:pPr>
        <w:tabs>
          <w:tab w:val="left" w:pos="8070"/>
          <w:tab w:val="right" w:pos="8306"/>
        </w:tabs>
        <w:autoSpaceDE w:val="0"/>
        <w:autoSpaceDN w:val="0"/>
        <w:adjustRightInd w:val="0"/>
        <w:snapToGrid w:val="0"/>
        <w:jc w:val="left"/>
        <w:rPr>
          <w:rFonts w:ascii="宋体" w:cs="仿宋_GB2312"/>
          <w:b/>
          <w:kern w:val="0"/>
          <w:sz w:val="18"/>
          <w:szCs w:val="18"/>
        </w:rPr>
      </w:pPr>
      <w:r>
        <w:rPr>
          <w:rFonts w:hint="eastAsia" w:ascii="宋体" w:hAnsi="宋体" w:cs="仿宋_GB2312"/>
          <w:b/>
          <w:kern w:val="0"/>
          <w:sz w:val="18"/>
          <w:szCs w:val="18"/>
        </w:rPr>
        <w:t>尊敬的客户：</w:t>
      </w:r>
    </w:p>
    <w:p>
      <w:pPr>
        <w:tabs>
          <w:tab w:val="left" w:pos="8070"/>
          <w:tab w:val="right" w:pos="8306"/>
        </w:tabs>
        <w:autoSpaceDE w:val="0"/>
        <w:autoSpaceDN w:val="0"/>
        <w:adjustRightInd w:val="0"/>
        <w:snapToGrid w:val="0"/>
        <w:ind w:firstLine="361" w:firstLineChars="200"/>
        <w:rPr>
          <w:rFonts w:ascii="宋体"/>
          <w:b/>
          <w:sz w:val="18"/>
          <w:szCs w:val="18"/>
        </w:rPr>
      </w:pPr>
      <w:r>
        <w:rPr>
          <w:rFonts w:hint="eastAsia" w:ascii="宋体" w:hAnsi="宋体"/>
          <w:b/>
          <w:sz w:val="18"/>
          <w:szCs w:val="18"/>
        </w:rPr>
        <w:t>为了维护您的权益，请在签署本协议前，仔细阅读本协议各条款（特别是黑体字条款），充分了解银行理财业务的运作细则、协议双方的权利、义务和责任。如有疑问，可向新疆银行咨询。</w:t>
      </w:r>
    </w:p>
    <w:tbl>
      <w:tblPr>
        <w:tblStyle w:val="6"/>
        <w:tblW w:w="9356" w:type="dxa"/>
        <w:tblInd w:w="-5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65"/>
        <w:gridCol w:w="16"/>
        <w:gridCol w:w="2587"/>
        <w:gridCol w:w="1429"/>
        <w:gridCol w:w="11"/>
        <w:gridCol w:w="3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8" w:hRule="atLeast"/>
        </w:trPr>
        <w:tc>
          <w:tcPr>
            <w:tcW w:w="9356" w:type="dxa"/>
            <w:gridSpan w:val="7"/>
            <w:shd w:val="solid" w:color="FFFFFF" w:fill="FFFFFF"/>
            <w:vAlign w:val="center"/>
          </w:tcPr>
          <w:p>
            <w:pPr>
              <w:pStyle w:val="3"/>
              <w:pBdr>
                <w:bottom w:val="none" w:color="auto" w:sz="0" w:space="0"/>
              </w:pBdr>
              <w:tabs>
                <w:tab w:val="clear" w:pos="4153"/>
                <w:tab w:val="clear" w:pos="8306"/>
              </w:tabs>
              <w:spacing w:line="320" w:lineRule="exact"/>
              <w:jc w:val="both"/>
              <w:rPr>
                <w:rFonts w:ascii="宋体" w:cs="宋体"/>
                <w:b/>
                <w:bCs/>
              </w:rPr>
            </w:pPr>
            <w:r>
              <w:rPr>
                <w:rFonts w:hint="eastAsia" w:ascii="宋体" w:hAnsi="宋体" w:cs="宋体"/>
                <w:b/>
                <w:bCs/>
              </w:rPr>
              <w:t>客户信息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甲方（客户）名称</w:t>
            </w:r>
          </w:p>
        </w:tc>
        <w:tc>
          <w:tcPr>
            <w:tcW w:w="2587" w:type="dxa"/>
            <w:shd w:val="solid" w:color="FFFFFF" w:fill="FFFFFF"/>
            <w:vAlign w:val="center"/>
          </w:tcPr>
          <w:p>
            <w:pPr>
              <w:adjustRightInd w:val="0"/>
              <w:snapToGrid w:val="0"/>
              <w:jc w:val="center"/>
              <w:rPr>
                <w:rFonts w:hint="default" w:ascii="宋体" w:eastAsia="宋体" w:cs="宋体"/>
                <w:sz w:val="18"/>
                <w:szCs w:val="18"/>
                <w:lang w:val="en-US" w:eastAsia="zh-CN"/>
              </w:rPr>
            </w:pPr>
          </w:p>
        </w:tc>
        <w:tc>
          <w:tcPr>
            <w:tcW w:w="1440" w:type="dxa"/>
            <w:gridSpan w:val="2"/>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证件类型</w:t>
            </w:r>
          </w:p>
        </w:tc>
        <w:tc>
          <w:tcPr>
            <w:tcW w:w="3688" w:type="dxa"/>
            <w:shd w:val="solid" w:color="FFFFFF" w:fill="FFFFFF"/>
            <w:vAlign w:val="center"/>
          </w:tcPr>
          <w:p>
            <w:pPr>
              <w:adjustRightInd w:val="0"/>
              <w:snapToGrid w:val="0"/>
              <w:jc w:val="center"/>
              <w:rPr>
                <w:rFonts w:hint="default" w:ascii="宋体" w:eastAsia="宋体" w:cs="宋体"/>
                <w:sz w:val="18"/>
                <w:szCs w:val="18"/>
                <w:lang w:val="en-US" w:eastAsia="zh-CN"/>
              </w:rPr>
            </w:pPr>
            <w:r>
              <w:rPr>
                <w:rFonts w:hint="eastAsia" w:ascii="宋体" w:cs="宋体"/>
                <w:sz w:val="18"/>
                <w:szCs w:val="18"/>
                <w:lang w:val="en-US" w:eastAsia="zh-CN"/>
              </w:rPr>
              <w:t>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法定代表人</w:t>
            </w:r>
          </w:p>
          <w:p>
            <w:pPr>
              <w:adjustRightInd w:val="0"/>
              <w:snapToGrid w:val="0"/>
              <w:jc w:val="center"/>
              <w:rPr>
                <w:rFonts w:ascii="宋体" w:cs="宋体"/>
                <w:sz w:val="18"/>
                <w:szCs w:val="18"/>
              </w:rPr>
            </w:pPr>
            <w:r>
              <w:rPr>
                <w:rFonts w:hint="eastAsia" w:ascii="宋体" w:hAnsi="宋体" w:cs="宋体"/>
                <w:sz w:val="18"/>
                <w:szCs w:val="18"/>
              </w:rPr>
              <w:t>（有权签字人）</w:t>
            </w:r>
          </w:p>
        </w:tc>
        <w:tc>
          <w:tcPr>
            <w:tcW w:w="2587" w:type="dxa"/>
            <w:shd w:val="solid" w:color="FFFFFF" w:fill="FFFFFF"/>
            <w:vAlign w:val="center"/>
          </w:tcPr>
          <w:p>
            <w:pPr>
              <w:adjustRightInd w:val="0"/>
              <w:snapToGrid w:val="0"/>
              <w:jc w:val="center"/>
              <w:rPr>
                <w:rFonts w:hint="default" w:ascii="宋体" w:eastAsia="宋体" w:cs="宋体"/>
                <w:sz w:val="18"/>
                <w:szCs w:val="18"/>
                <w:lang w:val="en-US" w:eastAsia="zh-CN"/>
              </w:rPr>
            </w:pPr>
          </w:p>
        </w:tc>
        <w:tc>
          <w:tcPr>
            <w:tcW w:w="1440" w:type="dxa"/>
            <w:gridSpan w:val="2"/>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证件号码</w:t>
            </w:r>
          </w:p>
        </w:tc>
        <w:tc>
          <w:tcPr>
            <w:tcW w:w="3688" w:type="dxa"/>
            <w:shd w:val="solid" w:color="FFFFFF" w:fill="FFFFFF"/>
            <w:vAlign w:val="center"/>
          </w:tcPr>
          <w:p>
            <w:pPr>
              <w:adjustRightInd w:val="0"/>
              <w:snapToGrid w:val="0"/>
              <w:jc w:val="center"/>
              <w:rPr>
                <w:rFonts w:hint="default" w:ascii="宋体" w:eastAsia="宋体" w:cs="宋体"/>
                <w:sz w:val="18"/>
                <w:szCs w:val="18"/>
                <w:lang w:val="en-US" w:eastAsia="zh-CN"/>
              </w:rPr>
            </w:pPr>
            <w:r>
              <w:rPr>
                <w:rFonts w:hint="eastAsia" w:ascii="宋体" w:cs="宋体"/>
                <w:sz w:val="18"/>
                <w:szCs w:val="18"/>
                <w:lang w:val="en-US" w:eastAsia="zh-CN"/>
              </w:rPr>
              <w:t>（营业执照。。。）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联系地址</w:t>
            </w:r>
          </w:p>
        </w:tc>
        <w:tc>
          <w:tcPr>
            <w:tcW w:w="2587" w:type="dxa"/>
            <w:shd w:val="solid" w:color="FFFFFF" w:fill="FFFFFF"/>
            <w:vAlign w:val="center"/>
          </w:tcPr>
          <w:p>
            <w:pPr>
              <w:adjustRightInd w:val="0"/>
              <w:snapToGrid w:val="0"/>
              <w:jc w:val="center"/>
              <w:rPr>
                <w:rFonts w:ascii="宋体" w:cs="宋体"/>
                <w:sz w:val="18"/>
                <w:szCs w:val="18"/>
              </w:rPr>
            </w:pPr>
          </w:p>
        </w:tc>
        <w:tc>
          <w:tcPr>
            <w:tcW w:w="1440" w:type="dxa"/>
            <w:gridSpan w:val="2"/>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联系电话</w:t>
            </w:r>
          </w:p>
        </w:tc>
        <w:tc>
          <w:tcPr>
            <w:tcW w:w="3688" w:type="dxa"/>
            <w:shd w:val="solid" w:color="FFFFFF" w:fill="FFFFFF"/>
            <w:vAlign w:val="center"/>
          </w:tcPr>
          <w:p>
            <w:pPr>
              <w:adjustRightInd w:val="0"/>
              <w:snapToGrid w:val="0"/>
              <w:jc w:val="center"/>
              <w:rPr>
                <w:rFonts w:hint="default" w:ascii="宋体" w:eastAsia="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邮编</w:t>
            </w:r>
          </w:p>
        </w:tc>
        <w:tc>
          <w:tcPr>
            <w:tcW w:w="2587" w:type="dxa"/>
            <w:shd w:val="solid" w:color="FFFFFF" w:fill="FFFFFF"/>
            <w:vAlign w:val="center"/>
          </w:tcPr>
          <w:p>
            <w:pPr>
              <w:adjustRightInd w:val="0"/>
              <w:snapToGrid w:val="0"/>
              <w:jc w:val="center"/>
              <w:rPr>
                <w:rFonts w:hint="default" w:ascii="宋体" w:eastAsia="宋体" w:cs="宋体"/>
                <w:sz w:val="18"/>
                <w:szCs w:val="18"/>
                <w:lang w:val="en-US" w:eastAsia="zh-CN"/>
              </w:rPr>
            </w:pPr>
          </w:p>
        </w:tc>
        <w:tc>
          <w:tcPr>
            <w:tcW w:w="1440" w:type="dxa"/>
            <w:gridSpan w:val="2"/>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传真</w:t>
            </w:r>
          </w:p>
        </w:tc>
        <w:tc>
          <w:tcPr>
            <w:tcW w:w="3688" w:type="dxa"/>
            <w:shd w:val="solid" w:color="FFFFFF" w:fill="FFFFFF"/>
            <w:vAlign w:val="center"/>
          </w:tcPr>
          <w:p>
            <w:pPr>
              <w:adjustRightInd w:val="0"/>
              <w:snapToGrid w:val="0"/>
              <w:jc w:val="center"/>
              <w:rPr>
                <w:rFonts w:hint="default" w:ascii="宋体" w:eastAsia="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56" w:type="dxa"/>
            <w:gridSpan w:val="7"/>
            <w:shd w:val="solid" w:color="FFFFFF" w:fill="FFFFFF"/>
          </w:tcPr>
          <w:p>
            <w:pPr>
              <w:pStyle w:val="3"/>
              <w:pBdr>
                <w:bottom w:val="none" w:color="auto" w:sz="0" w:space="0"/>
              </w:pBdr>
              <w:tabs>
                <w:tab w:val="clear" w:pos="4153"/>
                <w:tab w:val="clear" w:pos="8306"/>
              </w:tabs>
              <w:spacing w:line="320" w:lineRule="exact"/>
              <w:jc w:val="both"/>
              <w:rPr>
                <w:rFonts w:ascii="宋体" w:cs="宋体"/>
                <w:b/>
              </w:rPr>
            </w:pPr>
            <w:r>
              <w:rPr>
                <w:rFonts w:hint="eastAsia" w:ascii="宋体" w:hAnsi="宋体" w:cs="宋体"/>
                <w:b/>
              </w:rPr>
              <w:t>银行信息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spacing w:line="320" w:lineRule="exact"/>
              <w:jc w:val="left"/>
              <w:rPr>
                <w:rFonts w:ascii="宋体" w:cs="宋体"/>
                <w:bCs/>
                <w:sz w:val="18"/>
                <w:szCs w:val="18"/>
              </w:rPr>
            </w:pPr>
            <w:r>
              <w:rPr>
                <w:rFonts w:hint="eastAsia" w:ascii="宋体" w:hAnsi="宋体" w:cs="宋体"/>
                <w:bCs/>
                <w:sz w:val="18"/>
                <w:szCs w:val="18"/>
              </w:rPr>
              <w:t>乙方（银行）名称</w:t>
            </w:r>
          </w:p>
        </w:tc>
        <w:tc>
          <w:tcPr>
            <w:tcW w:w="7715" w:type="dxa"/>
            <w:gridSpan w:val="4"/>
            <w:shd w:val="solid" w:color="FFFFFF" w:fill="FFFFFF"/>
            <w:vAlign w:val="center"/>
          </w:tcPr>
          <w:p>
            <w:pPr>
              <w:spacing w:line="320" w:lineRule="exact"/>
              <w:jc w:val="left"/>
              <w:rPr>
                <w:rFonts w:ascii="宋体" w:cs="宋体"/>
                <w:bCs/>
                <w:sz w:val="18"/>
                <w:szCs w:val="18"/>
              </w:rPr>
            </w:pPr>
            <w:r>
              <w:rPr>
                <w:rFonts w:hint="eastAsia" w:ascii="宋体" w:hAnsi="宋体" w:cs="宋体"/>
                <w:sz w:val="18"/>
                <w:szCs w:val="18"/>
              </w:rPr>
              <w:t>新疆银行股份有限公司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spacing w:line="320" w:lineRule="exact"/>
              <w:jc w:val="center"/>
              <w:rPr>
                <w:rFonts w:ascii="宋体" w:cs="宋体"/>
                <w:bCs/>
                <w:sz w:val="18"/>
                <w:szCs w:val="18"/>
              </w:rPr>
            </w:pPr>
            <w:r>
              <w:rPr>
                <w:rFonts w:hint="eastAsia" w:ascii="宋体" w:hAnsi="宋体" w:cs="宋体"/>
                <w:bCs/>
                <w:sz w:val="18"/>
                <w:szCs w:val="18"/>
              </w:rPr>
              <w:t>经办行地址</w:t>
            </w:r>
          </w:p>
        </w:tc>
        <w:tc>
          <w:tcPr>
            <w:tcW w:w="7715" w:type="dxa"/>
            <w:gridSpan w:val="4"/>
            <w:shd w:val="solid" w:color="FFFFFF" w:fill="FFFFFF"/>
            <w:vAlign w:val="center"/>
          </w:tcPr>
          <w:p>
            <w:pPr>
              <w:spacing w:line="320" w:lineRule="exact"/>
              <w:jc w:val="left"/>
              <w:rPr>
                <w:rFonts w:ascii="宋体" w:cs="宋体"/>
                <w:bCs/>
                <w:sz w:val="18"/>
                <w:szCs w:val="18"/>
              </w:rPr>
            </w:pPr>
            <w:r>
              <w:rPr>
                <w:rFonts w:hint="eastAsia" w:ascii="宋体" w:cs="宋体"/>
                <w:bCs/>
                <w:sz w:val="18"/>
                <w:szCs w:val="18"/>
              </w:rPr>
              <w:t>新疆乌鲁木齐市天山区新华南路338号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spacing w:line="320" w:lineRule="exact"/>
              <w:jc w:val="center"/>
              <w:rPr>
                <w:rFonts w:ascii="宋体" w:cs="宋体"/>
                <w:bCs/>
                <w:sz w:val="18"/>
                <w:szCs w:val="18"/>
              </w:rPr>
            </w:pPr>
            <w:r>
              <w:rPr>
                <w:rFonts w:hint="eastAsia" w:ascii="宋体" w:hAnsi="宋体" w:cs="宋体"/>
                <w:bCs/>
                <w:sz w:val="18"/>
                <w:szCs w:val="18"/>
              </w:rPr>
              <w:t>邮政编码</w:t>
            </w:r>
          </w:p>
        </w:tc>
        <w:tc>
          <w:tcPr>
            <w:tcW w:w="2587" w:type="dxa"/>
            <w:shd w:val="solid" w:color="FFFFFF" w:fill="FFFFFF"/>
            <w:vAlign w:val="center"/>
          </w:tcPr>
          <w:p>
            <w:pPr>
              <w:spacing w:line="320" w:lineRule="exact"/>
              <w:jc w:val="left"/>
              <w:rPr>
                <w:rFonts w:ascii="宋体" w:cs="宋体"/>
                <w:bCs/>
                <w:sz w:val="18"/>
                <w:szCs w:val="18"/>
              </w:rPr>
            </w:pPr>
            <w:r>
              <w:rPr>
                <w:rFonts w:hint="eastAsia" w:ascii="宋体" w:cs="宋体"/>
                <w:bCs/>
                <w:sz w:val="18"/>
                <w:szCs w:val="18"/>
              </w:rPr>
              <w:t>830000</w:t>
            </w:r>
          </w:p>
        </w:tc>
        <w:tc>
          <w:tcPr>
            <w:tcW w:w="1429" w:type="dxa"/>
            <w:shd w:val="solid" w:color="FFFFFF" w:fill="FFFFFF"/>
            <w:vAlign w:val="center"/>
          </w:tcPr>
          <w:p>
            <w:pPr>
              <w:spacing w:line="280" w:lineRule="exact"/>
              <w:jc w:val="center"/>
              <w:rPr>
                <w:rFonts w:ascii="宋体" w:cs="宋体"/>
                <w:bCs/>
                <w:sz w:val="18"/>
                <w:szCs w:val="18"/>
              </w:rPr>
            </w:pPr>
            <w:r>
              <w:rPr>
                <w:rFonts w:hint="eastAsia" w:ascii="宋体" w:hAnsi="宋体" w:cs="宋体"/>
                <w:bCs/>
                <w:sz w:val="18"/>
                <w:szCs w:val="18"/>
              </w:rPr>
              <w:t>联系电话</w:t>
            </w:r>
          </w:p>
        </w:tc>
        <w:tc>
          <w:tcPr>
            <w:tcW w:w="3699" w:type="dxa"/>
            <w:gridSpan w:val="2"/>
            <w:shd w:val="solid" w:color="FFFFFF" w:fill="FFFFFF"/>
            <w:vAlign w:val="center"/>
          </w:tcPr>
          <w:p>
            <w:pPr>
              <w:spacing w:line="320" w:lineRule="exact"/>
              <w:jc w:val="left"/>
              <w:rPr>
                <w:rFonts w:hint="default" w:ascii="宋体" w:eastAsia="宋体" w:cs="宋体"/>
                <w:bCs/>
                <w:sz w:val="18"/>
                <w:szCs w:val="18"/>
                <w:lang w:val="en-US" w:eastAsia="zh-CN"/>
              </w:rPr>
            </w:pPr>
            <w:r>
              <w:rPr>
                <w:rFonts w:hint="eastAsia" w:ascii="宋体" w:cs="宋体"/>
                <w:bCs/>
                <w:sz w:val="18"/>
                <w:szCs w:val="18"/>
              </w:rPr>
              <w:t>0991-</w:t>
            </w:r>
            <w:r>
              <w:rPr>
                <w:rFonts w:hint="eastAsia" w:ascii="宋体" w:cs="宋体"/>
                <w:bCs/>
                <w:sz w:val="18"/>
                <w:szCs w:val="18"/>
                <w:lang w:val="en-US" w:eastAsia="zh-CN"/>
              </w:rPr>
              <w:t>2378506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56" w:type="dxa"/>
            <w:gridSpan w:val="7"/>
            <w:shd w:val="solid" w:color="FFFFFF" w:fill="FFFFFF"/>
          </w:tcPr>
          <w:p>
            <w:pPr>
              <w:pStyle w:val="3"/>
              <w:pBdr>
                <w:bottom w:val="none" w:color="auto" w:sz="0" w:space="0"/>
              </w:pBdr>
              <w:tabs>
                <w:tab w:val="clear" w:pos="4153"/>
                <w:tab w:val="clear" w:pos="8306"/>
              </w:tabs>
              <w:spacing w:line="320" w:lineRule="exact"/>
              <w:jc w:val="both"/>
              <w:rPr>
                <w:rFonts w:ascii="宋体" w:cs="宋体"/>
                <w:b/>
              </w:rPr>
            </w:pPr>
            <w:r>
              <w:rPr>
                <w:rFonts w:hint="eastAsia" w:ascii="宋体" w:hAnsi="宋体" w:cs="宋体"/>
                <w:b/>
              </w:rPr>
              <w:t>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25" w:type="dxa"/>
            <w:gridSpan w:val="2"/>
            <w:shd w:val="solid" w:color="FFFFFF" w:fill="FFFFFF"/>
            <w:vAlign w:val="center"/>
          </w:tcPr>
          <w:p>
            <w:pPr>
              <w:jc w:val="center"/>
              <w:rPr>
                <w:rFonts w:ascii="宋体" w:cs="宋体"/>
                <w:sz w:val="18"/>
                <w:szCs w:val="18"/>
              </w:rPr>
            </w:pPr>
            <w:r>
              <w:rPr>
                <w:rFonts w:hint="eastAsia" w:ascii="宋体" w:hAnsi="宋体" w:cs="宋体"/>
                <w:sz w:val="18"/>
                <w:szCs w:val="18"/>
              </w:rPr>
              <w:t>产品名称</w:t>
            </w:r>
          </w:p>
        </w:tc>
        <w:tc>
          <w:tcPr>
            <w:tcW w:w="7731" w:type="dxa"/>
            <w:gridSpan w:val="5"/>
            <w:shd w:val="solid" w:color="FFFFFF" w:fill="FFFFFF"/>
          </w:tcPr>
          <w:p>
            <w:pPr>
              <w:autoSpaceDE w:val="0"/>
              <w:autoSpaceDN w:val="0"/>
              <w:adjustRightInd w:val="0"/>
              <w:snapToGrid w:val="0"/>
              <w:spacing w:beforeLines="50" w:line="320" w:lineRule="exact"/>
              <w:rPr>
                <w:rFonts w:ascii="宋体" w:cs="宋体"/>
                <w:b/>
                <w:sz w:val="18"/>
                <w:szCs w:val="18"/>
              </w:rPr>
            </w:pPr>
            <w:r>
              <w:rPr>
                <w:rFonts w:hint="eastAsia" w:ascii="宋体" w:hAnsi="宋体"/>
                <w:bCs/>
                <w:sz w:val="18"/>
                <w:szCs w:val="18"/>
                <w:u w:val="single"/>
              </w:rPr>
              <w:t>金胡杨同业理财2020</w:t>
            </w:r>
            <w:r>
              <w:rPr>
                <w:rFonts w:hint="eastAsia" w:ascii="宋体" w:hAnsi="宋体"/>
                <w:bCs/>
                <w:sz w:val="18"/>
                <w:szCs w:val="18"/>
                <w:u w:val="single"/>
                <w:lang w:val="en-US" w:eastAsia="zh-CN"/>
              </w:rPr>
              <w:t>021</w:t>
            </w:r>
            <w:r>
              <w:rPr>
                <w:rFonts w:hint="eastAsia" w:ascii="宋体" w:hAnsi="宋体"/>
                <w:bCs/>
                <w:sz w:val="18"/>
                <w:szCs w:val="18"/>
                <w:u w:val="single"/>
              </w:rPr>
              <w:t>期</w:t>
            </w:r>
            <w:r>
              <w:rPr>
                <w:rFonts w:hint="eastAsia" w:ascii="宋体" w:hAnsi="宋体" w:cs="宋体"/>
                <w:b/>
                <w:sz w:val="18"/>
                <w:szCs w:val="18"/>
              </w:rPr>
              <w:t>人民币同业理财产品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25" w:type="dxa"/>
            <w:gridSpan w:val="2"/>
            <w:shd w:val="solid" w:color="FFFFFF" w:fill="FFFFFF"/>
            <w:vAlign w:val="center"/>
          </w:tcPr>
          <w:p>
            <w:pPr>
              <w:pStyle w:val="3"/>
              <w:pBdr>
                <w:bottom w:val="none" w:color="auto" w:sz="0" w:space="0"/>
              </w:pBdr>
              <w:tabs>
                <w:tab w:val="clear" w:pos="4153"/>
                <w:tab w:val="clear" w:pos="8306"/>
              </w:tabs>
              <w:spacing w:line="320" w:lineRule="exact"/>
              <w:rPr>
                <w:rFonts w:ascii="宋体" w:cs="宋体"/>
                <w:bCs/>
              </w:rPr>
            </w:pPr>
            <w:r>
              <w:rPr>
                <w:rFonts w:hint="eastAsia" w:ascii="宋体" w:hAnsi="宋体" w:cs="宋体"/>
                <w:bCs/>
              </w:rPr>
              <w:t>销售编号</w:t>
            </w:r>
          </w:p>
        </w:tc>
        <w:tc>
          <w:tcPr>
            <w:tcW w:w="2603" w:type="dxa"/>
            <w:gridSpan w:val="2"/>
            <w:shd w:val="solid" w:color="FFFFFF" w:fill="FFFFFF"/>
            <w:vAlign w:val="center"/>
          </w:tcPr>
          <w:p>
            <w:pPr>
              <w:rPr>
                <w:rFonts w:ascii="宋体" w:cs="宋体"/>
                <w:bCs/>
                <w:sz w:val="18"/>
                <w:szCs w:val="18"/>
                <w:highlight w:val="yellow"/>
              </w:rPr>
            </w:pPr>
          </w:p>
        </w:tc>
        <w:tc>
          <w:tcPr>
            <w:tcW w:w="1440" w:type="dxa"/>
            <w:gridSpan w:val="2"/>
            <w:shd w:val="solid" w:color="FFFFFF" w:fill="FFFFFF"/>
            <w:vAlign w:val="center"/>
          </w:tcPr>
          <w:p>
            <w:pPr>
              <w:jc w:val="center"/>
              <w:rPr>
                <w:rFonts w:ascii="宋体" w:cs="宋体"/>
                <w:bCs/>
                <w:sz w:val="18"/>
                <w:szCs w:val="18"/>
              </w:rPr>
            </w:pPr>
            <w:r>
              <w:rPr>
                <w:rFonts w:hint="eastAsia" w:ascii="宋体" w:hAnsi="宋体" w:cs="宋体"/>
                <w:bCs/>
                <w:sz w:val="18"/>
                <w:szCs w:val="18"/>
              </w:rPr>
              <w:t>投资币种</w:t>
            </w:r>
          </w:p>
        </w:tc>
        <w:tc>
          <w:tcPr>
            <w:tcW w:w="3688" w:type="dxa"/>
            <w:shd w:val="solid" w:color="FFFFFF" w:fill="FFFFFF"/>
            <w:vAlign w:val="center"/>
          </w:tcPr>
          <w:p>
            <w:pPr>
              <w:rPr>
                <w:rFonts w:ascii="宋体" w:cs="宋体"/>
                <w:bCs/>
                <w:sz w:val="18"/>
                <w:szCs w:val="18"/>
              </w:rPr>
            </w:pPr>
            <w:r>
              <w:rPr>
                <w:rFonts w:hint="eastAsia" w:ascii="宋体" w:hAnsi="宋体" w:cs="宋体"/>
                <w:bCs/>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9356" w:type="dxa"/>
            <w:gridSpan w:val="7"/>
            <w:shd w:val="solid" w:color="FFFFFF" w:fill="FFFFFF"/>
            <w:vAlign w:val="center"/>
          </w:tcPr>
          <w:p>
            <w:pPr>
              <w:rPr>
                <w:rFonts w:ascii="宋体" w:cs="宋体"/>
                <w:b/>
                <w:bCs/>
                <w:sz w:val="18"/>
                <w:szCs w:val="18"/>
              </w:rPr>
            </w:pPr>
            <w:r>
              <w:rPr>
                <w:rFonts w:hint="eastAsia" w:ascii="宋体" w:hAnsi="宋体" w:cs="宋体"/>
                <w:sz w:val="18"/>
                <w:szCs w:val="18"/>
              </w:rPr>
              <w:t>甲方购买金额为（小写）：</w:t>
            </w:r>
            <w:r>
              <w:rPr>
                <w:rFonts w:hint="eastAsia" w:ascii="方正大黑简体" w:hAnsi="宋体" w:eastAsia="方正大黑简体" w:cs="宋体"/>
                <w:bCs/>
                <w:szCs w:val="21"/>
              </w:rPr>
              <w:t>￥</w:t>
            </w:r>
            <w:r>
              <w:rPr>
                <w:rFonts w:hint="eastAsia" w:ascii="宋体" w:hAnsi="宋体" w:cs="宋体"/>
                <w:sz w:val="18"/>
                <w:szCs w:val="18"/>
                <w:u w:val="single"/>
                <w:lang w:val="en-US" w:eastAsia="zh-CN"/>
              </w:rPr>
              <w:t xml:space="preserve"> 0</w:t>
            </w:r>
            <w:r>
              <w:rPr>
                <w:rFonts w:hint="eastAsia" w:ascii="宋体" w:hAnsi="宋体" w:cs="宋体"/>
                <w:sz w:val="18"/>
                <w:szCs w:val="18"/>
                <w:u w:val="single"/>
              </w:rPr>
              <w:t>00000.00</w:t>
            </w:r>
            <w:r>
              <w:rPr>
                <w:rFonts w:hint="eastAsia" w:ascii="宋体" w:hAnsi="宋体" w:cs="宋体"/>
                <w:sz w:val="18"/>
                <w:szCs w:val="18"/>
              </w:rPr>
              <w:t>，大写：</w:t>
            </w:r>
            <w:r>
              <w:rPr>
                <w:rFonts w:hint="eastAsia" w:ascii="宋体" w:hAnsi="宋体" w:cs="宋体"/>
                <w:sz w:val="18"/>
                <w:szCs w:val="18"/>
                <w:u w:val="single"/>
              </w:rPr>
              <w:t xml:space="preserve">  </w:t>
            </w:r>
            <w:r>
              <w:rPr>
                <w:rFonts w:hint="eastAsia" w:ascii="宋体" w:hAnsi="宋体" w:cs="宋体"/>
                <w:sz w:val="18"/>
                <w:szCs w:val="18"/>
                <w:u w:val="single"/>
                <w:lang w:val="en-US" w:eastAsia="zh-CN"/>
              </w:rPr>
              <w:t xml:space="preserve"> </w:t>
            </w:r>
            <w:r>
              <w:rPr>
                <w:rFonts w:hint="eastAsia" w:ascii="宋体" w:hAnsi="宋体" w:cs="宋体"/>
                <w:sz w:val="18"/>
                <w:szCs w:val="18"/>
                <w:u w:val="single"/>
              </w:rPr>
              <w:t>元整</w:t>
            </w: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56" w:type="dxa"/>
            <w:gridSpan w:val="7"/>
            <w:shd w:val="solid" w:color="FFFFFF" w:fill="FFFFFF"/>
            <w:vAlign w:val="center"/>
          </w:tcPr>
          <w:p>
            <w:pPr>
              <w:pStyle w:val="3"/>
              <w:pBdr>
                <w:bottom w:val="none" w:color="auto" w:sz="0" w:space="0"/>
              </w:pBdr>
              <w:tabs>
                <w:tab w:val="clear" w:pos="4153"/>
                <w:tab w:val="clear" w:pos="8306"/>
              </w:tabs>
              <w:spacing w:line="320" w:lineRule="exact"/>
              <w:jc w:val="both"/>
              <w:rPr>
                <w:rFonts w:ascii="宋体" w:cs="宋体"/>
                <w:b/>
              </w:rPr>
            </w:pPr>
            <w:r>
              <w:rPr>
                <w:rFonts w:hint="eastAsia" w:ascii="宋体" w:hAnsi="宋体" w:cs="宋体"/>
                <w:b/>
              </w:rPr>
              <w:t>账户信息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60" w:type="dxa"/>
            <w:shd w:val="solid" w:color="FFFFFF" w:fill="FFFFFF"/>
            <w:vAlign w:val="center"/>
          </w:tcPr>
          <w:p>
            <w:pPr>
              <w:adjustRightInd w:val="0"/>
              <w:snapToGrid w:val="0"/>
              <w:jc w:val="center"/>
              <w:rPr>
                <w:rFonts w:ascii="宋体" w:cs="宋体"/>
                <w:color w:val="FF0000"/>
                <w:sz w:val="18"/>
                <w:szCs w:val="18"/>
              </w:rPr>
            </w:pPr>
            <w:r>
              <w:rPr>
                <w:rFonts w:hint="eastAsia" w:ascii="宋体" w:hAnsi="宋体" w:cs="宋体"/>
                <w:color w:val="FF0000"/>
                <w:spacing w:val="-6"/>
                <w:sz w:val="18"/>
                <w:szCs w:val="18"/>
              </w:rPr>
              <w:t>户名</w:t>
            </w:r>
          </w:p>
        </w:tc>
        <w:tc>
          <w:tcPr>
            <w:tcW w:w="7796" w:type="dxa"/>
            <w:gridSpan w:val="6"/>
            <w:shd w:val="solid" w:color="FFFFFF" w:fill="FFFFFF"/>
            <w:vAlign w:val="center"/>
          </w:tcPr>
          <w:p>
            <w:pPr>
              <w:adjustRightInd w:val="0"/>
              <w:snapToGrid w:val="0"/>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60" w:type="dxa"/>
            <w:shd w:val="solid" w:color="FFFFFF" w:fill="FFFFFF"/>
            <w:vAlign w:val="center"/>
          </w:tcPr>
          <w:p>
            <w:pPr>
              <w:adjustRightInd w:val="0"/>
              <w:snapToGrid w:val="0"/>
              <w:jc w:val="center"/>
              <w:rPr>
                <w:rFonts w:ascii="宋体" w:cs="宋体"/>
                <w:color w:val="FF0000"/>
                <w:spacing w:val="-6"/>
                <w:sz w:val="18"/>
                <w:szCs w:val="18"/>
              </w:rPr>
            </w:pPr>
            <w:r>
              <w:rPr>
                <w:rFonts w:hint="eastAsia" w:ascii="宋体" w:hAnsi="宋体" w:cs="宋体"/>
                <w:color w:val="FF0000"/>
                <w:sz w:val="18"/>
                <w:szCs w:val="18"/>
              </w:rPr>
              <w:t>账号</w:t>
            </w:r>
          </w:p>
        </w:tc>
        <w:tc>
          <w:tcPr>
            <w:tcW w:w="7796" w:type="dxa"/>
            <w:gridSpan w:val="6"/>
            <w:shd w:val="solid" w:color="FFFFFF" w:fill="FFFFFF"/>
            <w:vAlign w:val="center"/>
          </w:tcPr>
          <w:p>
            <w:pPr>
              <w:adjustRightInd w:val="0"/>
              <w:snapToGrid w:val="0"/>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60" w:type="dxa"/>
            <w:shd w:val="solid" w:color="FFFFFF" w:fill="FFFFFF"/>
            <w:vAlign w:val="center"/>
          </w:tcPr>
          <w:p>
            <w:pPr>
              <w:adjustRightInd w:val="0"/>
              <w:snapToGrid w:val="0"/>
              <w:jc w:val="center"/>
              <w:rPr>
                <w:rFonts w:ascii="宋体" w:cs="宋体"/>
                <w:color w:val="FF0000"/>
                <w:spacing w:val="-6"/>
                <w:sz w:val="18"/>
                <w:szCs w:val="18"/>
              </w:rPr>
            </w:pPr>
            <w:r>
              <w:rPr>
                <w:rFonts w:hint="eastAsia" w:ascii="宋体" w:hAnsi="宋体" w:cs="宋体"/>
                <w:color w:val="FF0000"/>
                <w:spacing w:val="-6"/>
                <w:sz w:val="18"/>
                <w:szCs w:val="18"/>
              </w:rPr>
              <w:t>开户行</w:t>
            </w:r>
          </w:p>
        </w:tc>
        <w:tc>
          <w:tcPr>
            <w:tcW w:w="7796" w:type="dxa"/>
            <w:gridSpan w:val="6"/>
            <w:shd w:val="solid" w:color="FFFFFF" w:fill="FFFFFF"/>
            <w:vAlign w:val="center"/>
          </w:tcPr>
          <w:p>
            <w:pPr>
              <w:adjustRightInd w:val="0"/>
              <w:snapToGrid w:val="0"/>
              <w:rPr>
                <w:rFonts w:hint="default" w:ascii="宋体" w:eastAsia="宋体" w:cs="宋体"/>
                <w:sz w:val="18"/>
                <w:szCs w:val="18"/>
                <w:lang w:val="en-US" w:eastAsia="zh-CN"/>
              </w:rPr>
            </w:pPr>
            <w:r>
              <w:rPr>
                <w:rFonts w:hint="eastAsia" w:ascii="宋体" w:cs="宋体"/>
                <w:sz w:val="18"/>
                <w:szCs w:val="18"/>
                <w:lang w:val="en-US" w:eastAsia="zh-CN"/>
              </w:rPr>
              <w:t xml:space="preserve">                                      </w:t>
            </w:r>
            <w:r>
              <w:rPr>
                <w:rFonts w:hint="eastAsia" w:ascii="宋体" w:cs="宋体"/>
                <w:color w:val="FF0000"/>
                <w:sz w:val="18"/>
                <w:szCs w:val="18"/>
                <w:lang w:val="en-US" w:eastAsia="zh-CN"/>
              </w:rPr>
              <w:t xml:space="preserve"> (行号：                   )</w:t>
            </w:r>
          </w:p>
        </w:tc>
      </w:tr>
    </w:tbl>
    <w:p>
      <w:pPr>
        <w:tabs>
          <w:tab w:val="left" w:pos="8070"/>
          <w:tab w:val="right" w:pos="8306"/>
        </w:tabs>
        <w:autoSpaceDE w:val="0"/>
        <w:autoSpaceDN w:val="0"/>
        <w:adjustRightInd w:val="0"/>
        <w:snapToGrid w:val="0"/>
        <w:spacing w:line="280" w:lineRule="exact"/>
        <w:ind w:firstLine="336" w:firstLineChars="200"/>
        <w:rPr>
          <w:rFonts w:ascii="宋体" w:cs="宋体"/>
          <w:spacing w:val="-6"/>
          <w:sz w:val="18"/>
          <w:szCs w:val="18"/>
        </w:rPr>
      </w:pP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甲乙双方经友好协商，本着平等自愿、诚实信用的原则，就甲方向乙方购买本期人民币理财产品（以下简称“本理财产品”），达成协议如下：</w:t>
      </w:r>
    </w:p>
    <w:p>
      <w:pPr>
        <w:tabs>
          <w:tab w:val="left" w:pos="360"/>
          <w:tab w:val="left" w:pos="600"/>
        </w:tabs>
        <w:autoSpaceDE w:val="0"/>
        <w:autoSpaceDN w:val="0"/>
        <w:adjustRightInd w:val="0"/>
        <w:snapToGrid w:val="0"/>
        <w:spacing w:line="360" w:lineRule="auto"/>
        <w:rPr>
          <w:rFonts w:ascii="宋体" w:hAnsi="宋体" w:cs="宋体"/>
          <w:b/>
          <w:bCs/>
          <w:sz w:val="18"/>
          <w:szCs w:val="18"/>
        </w:rPr>
      </w:pPr>
      <w:r>
        <w:rPr>
          <w:rFonts w:hint="eastAsia" w:ascii="宋体" w:hAnsi="宋体" w:cs="宋体"/>
          <w:b/>
          <w:bCs/>
          <w:sz w:val="18"/>
          <w:szCs w:val="18"/>
        </w:rPr>
        <w:t>第一条双方权利义务</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1、甲方自愿向乙方购买本理财产品，接受乙方提供的投资理财服务。甲方承诺由此产生的相关风险由甲方承担，本理财产品甲方面临的投资风险详见《新疆银行人民币公司理财产品风险揭示书》（以下简称《风险揭示书》）。</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2、乙方在受托运用理财资金进行投资时，应履行诚实信用、谨慎勤勉的义务，管理理财产品资金，依法保护甲方的财产权益。</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3、甲方指定账户（以下简称“账户”），用于本理财产品的理财资金划转及理财产品兑付，甲方承诺理财期间该账户不被销户。</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（1）如甲方指定账户开户行在乙方，则甲方应在募集结束日当日下午</w:t>
      </w:r>
      <w:r>
        <w:rPr>
          <w:rFonts w:ascii="宋体" w:hAnsi="宋体" w:cs="宋体"/>
          <w:bCs/>
          <w:sz w:val="18"/>
          <w:szCs w:val="18"/>
        </w:rPr>
        <w:t>1</w:t>
      </w:r>
      <w:r>
        <w:rPr>
          <w:rFonts w:hint="eastAsia" w:ascii="宋体" w:hAnsi="宋体" w:cs="宋体"/>
          <w:bCs/>
          <w:sz w:val="18"/>
          <w:szCs w:val="18"/>
        </w:rPr>
        <w:t>3</w:t>
      </w:r>
      <w:r>
        <w:rPr>
          <w:rFonts w:ascii="宋体" w:hAnsi="宋体" w:cs="宋体"/>
          <w:bCs/>
          <w:sz w:val="18"/>
          <w:szCs w:val="18"/>
        </w:rPr>
        <w:t>:00</w:t>
      </w:r>
      <w:r>
        <w:rPr>
          <w:rFonts w:hint="eastAsia" w:ascii="宋体" w:hAnsi="宋体" w:cs="宋体"/>
          <w:bCs/>
          <w:sz w:val="18"/>
          <w:szCs w:val="18"/>
        </w:rPr>
        <w:t>前向指定账户存入足额资金，甲方并授权乙方于起息日当日将甲方账户内相应的理财资金划转至乙方指定账户。由于甲方指定账户资金不足导致交易失败的，乙方不承担责任。</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（2）如甲方指定账户开户行不在乙方，则甲方应于募集期结束当日下午13：00前向乙方指定账户划入足额资金。</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本协议下，甲方指定账户按照以上第（ 2 ）种方式办理。</w:t>
      </w:r>
    </w:p>
    <w:p>
      <w:pPr>
        <w:numPr>
          <w:ilvl w:val="0"/>
          <w:numId w:val="1"/>
        </w:numPr>
        <w:tabs>
          <w:tab w:val="left" w:pos="360"/>
          <w:tab w:val="left" w:pos="600"/>
        </w:tabs>
        <w:autoSpaceDE w:val="0"/>
        <w:autoSpaceDN w:val="0"/>
        <w:adjustRightInd w:val="0"/>
        <w:snapToGrid w:val="0"/>
        <w:spacing w:line="360" w:lineRule="auto"/>
        <w:rPr>
          <w:rFonts w:ascii="宋体" w:hAnsi="宋体" w:cs="宋体"/>
          <w:bCs/>
          <w:sz w:val="18"/>
          <w:szCs w:val="18"/>
          <w:u w:val="single"/>
        </w:rPr>
      </w:pPr>
      <w:r>
        <w:rPr>
          <w:rFonts w:hint="eastAsia" w:ascii="宋体" w:hAnsi="宋体" w:cs="宋体"/>
          <w:bCs/>
          <w:sz w:val="18"/>
          <w:szCs w:val="18"/>
        </w:rPr>
        <w:t>甲方指定账户户名：  账号：</w:t>
      </w:r>
    </w:p>
    <w:p>
      <w:pPr>
        <w:tabs>
          <w:tab w:val="left" w:pos="360"/>
          <w:tab w:val="left" w:pos="600"/>
        </w:tabs>
        <w:autoSpaceDE w:val="0"/>
        <w:autoSpaceDN w:val="0"/>
        <w:adjustRightInd w:val="0"/>
        <w:snapToGrid w:val="0"/>
        <w:spacing w:line="360" w:lineRule="auto"/>
        <w:ind w:left="360" w:firstLine="270" w:firstLineChars="150"/>
        <w:rPr>
          <w:rFonts w:ascii="宋体" w:hAnsi="宋体" w:cs="宋体"/>
          <w:bCs/>
          <w:sz w:val="18"/>
          <w:szCs w:val="18"/>
          <w:u w:val="single"/>
        </w:rPr>
      </w:pPr>
      <w:r>
        <w:rPr>
          <w:rFonts w:hint="eastAsia" w:ascii="宋体" w:hAnsi="宋体" w:cs="宋体"/>
          <w:bCs/>
          <w:sz w:val="18"/>
          <w:szCs w:val="18"/>
        </w:rPr>
        <w:t>大额支付行号：  开户行：</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②乙方清算账户名称：</w:t>
      </w:r>
      <w:r>
        <w:rPr>
          <w:rFonts w:hint="eastAsia" w:ascii="宋体" w:hAnsi="宋体" w:cs="宋体"/>
          <w:bCs/>
          <w:sz w:val="18"/>
          <w:szCs w:val="18"/>
          <w:u w:val="single"/>
        </w:rPr>
        <w:t xml:space="preserve">  非保本理财产品募集户（机构） </w:t>
      </w:r>
      <w:r>
        <w:rPr>
          <w:rFonts w:hint="eastAsia" w:ascii="宋体" w:hAnsi="宋体" w:cs="宋体"/>
          <w:bCs/>
          <w:sz w:val="18"/>
          <w:szCs w:val="18"/>
        </w:rPr>
        <w:t xml:space="preserve">  账号：</w:t>
      </w:r>
      <w:r>
        <w:rPr>
          <w:rFonts w:hint="eastAsia" w:ascii="宋体" w:hAnsi="宋体" w:cs="宋体"/>
          <w:bCs/>
          <w:sz w:val="18"/>
          <w:szCs w:val="18"/>
          <w:u w:val="single"/>
        </w:rPr>
        <w:t>80011715625013101002050002</w:t>
      </w:r>
    </w:p>
    <w:p>
      <w:pPr>
        <w:tabs>
          <w:tab w:val="left" w:pos="360"/>
          <w:tab w:val="left" w:pos="600"/>
        </w:tabs>
        <w:autoSpaceDE w:val="0"/>
        <w:autoSpaceDN w:val="0"/>
        <w:adjustRightInd w:val="0"/>
        <w:snapToGrid w:val="0"/>
        <w:spacing w:line="360" w:lineRule="auto"/>
        <w:ind w:firstLine="630" w:firstLineChars="350"/>
        <w:rPr>
          <w:rFonts w:ascii="宋体" w:hAnsi="宋体" w:cs="宋体"/>
          <w:bCs/>
          <w:sz w:val="18"/>
          <w:szCs w:val="18"/>
        </w:rPr>
      </w:pPr>
      <w:r>
        <w:rPr>
          <w:rFonts w:hint="eastAsia" w:ascii="宋体" w:hAnsi="宋体" w:cs="宋体"/>
          <w:bCs/>
          <w:sz w:val="18"/>
          <w:szCs w:val="18"/>
        </w:rPr>
        <w:t>大额支付行号：</w:t>
      </w:r>
      <w:r>
        <w:rPr>
          <w:rFonts w:hint="eastAsia" w:ascii="宋体" w:hAnsi="宋体" w:cs="宋体"/>
          <w:bCs/>
          <w:szCs w:val="21"/>
          <w:u w:val="single"/>
        </w:rPr>
        <w:t xml:space="preserve">313881088887 </w:t>
      </w:r>
      <w:r>
        <w:rPr>
          <w:rFonts w:hint="eastAsia" w:ascii="宋体" w:hAnsi="宋体" w:cs="宋体"/>
          <w:bCs/>
          <w:sz w:val="18"/>
          <w:szCs w:val="18"/>
        </w:rPr>
        <w:t xml:space="preserve">           开户行：</w:t>
      </w:r>
      <w:r>
        <w:rPr>
          <w:rFonts w:hint="eastAsia" w:ascii="宋体" w:hAnsi="宋体" w:cs="宋体"/>
          <w:bCs/>
          <w:sz w:val="18"/>
          <w:szCs w:val="18"/>
          <w:u w:val="single"/>
        </w:rPr>
        <w:t xml:space="preserve">  新疆银行股份有限公司           </w:t>
      </w:r>
    </w:p>
    <w:p>
      <w:pPr>
        <w:tabs>
          <w:tab w:val="left" w:pos="360"/>
          <w:tab w:val="left" w:pos="600"/>
        </w:tabs>
        <w:autoSpaceDE w:val="0"/>
        <w:autoSpaceDN w:val="0"/>
        <w:adjustRightInd w:val="0"/>
        <w:snapToGrid w:val="0"/>
        <w:spacing w:line="360" w:lineRule="auto"/>
        <w:ind w:firstLine="361" w:firstLineChars="200"/>
        <w:rPr>
          <w:rFonts w:ascii="宋体" w:cs="宋体"/>
          <w:b/>
          <w:bCs/>
          <w:sz w:val="18"/>
          <w:szCs w:val="18"/>
        </w:rPr>
      </w:pPr>
      <w:r>
        <w:rPr>
          <w:rFonts w:hint="eastAsia" w:ascii="宋体" w:hAnsi="宋体" w:cs="宋体"/>
          <w:b/>
          <w:bCs/>
          <w:sz w:val="18"/>
          <w:szCs w:val="18"/>
        </w:rPr>
        <w:t>特别提示：因本产品系列</w:t>
      </w:r>
      <w:r>
        <w:rPr>
          <w:rFonts w:hint="eastAsia" w:ascii="宋体" w:hAnsi="宋体" w:cs="宋体"/>
          <w:b/>
          <w:bCs/>
          <w:color w:val="000000"/>
          <w:sz w:val="18"/>
          <w:szCs w:val="18"/>
        </w:rPr>
        <w:t>主要投向</w:t>
      </w:r>
      <w:r>
        <w:rPr>
          <w:rFonts w:hint="eastAsia" w:ascii="宋体" w:hAnsi="宋体" w:cs="宋体"/>
          <w:b/>
          <w:bCs/>
          <w:sz w:val="18"/>
          <w:szCs w:val="18"/>
        </w:rPr>
        <w:t>具有较强流动性的货币市场工具、债券、符合监管机构规定的其他金融资产，投资者主要面临的风险为信用风险、流动性风险和利率风险等投资风险。本理财计划存在上述投资风险，客户参考年化收益率为测算收益，并不代表您一定获得的保证收益，在您签署本理财计划协议书前，应当仔细阅读本理财产品协议书条款、《产品说明书》、《风险揭示书》，特别是《风险揭示书》中相关风险提示。</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4、在甲方持有本理财产品期间，乙方有权收取理财产品相关费用，具体费用项目、收费标准和收费方式等详见《新疆银行人民币公司理财产品说明书》（以下简称《产品说明书》）。</w:t>
      </w:r>
    </w:p>
    <w:p>
      <w:pPr>
        <w:tabs>
          <w:tab w:val="left" w:pos="360"/>
          <w:tab w:val="left" w:pos="600"/>
        </w:tabs>
        <w:autoSpaceDE w:val="0"/>
        <w:autoSpaceDN w:val="0"/>
        <w:adjustRightInd w:val="0"/>
        <w:snapToGrid w:val="0"/>
        <w:spacing w:line="360" w:lineRule="auto"/>
        <w:ind w:firstLine="361" w:firstLineChars="200"/>
        <w:rPr>
          <w:rFonts w:ascii="宋体" w:hAnsi="宋体" w:cs="宋体"/>
          <w:b/>
          <w:bCs/>
          <w:sz w:val="18"/>
          <w:szCs w:val="18"/>
        </w:rPr>
      </w:pPr>
      <w:r>
        <w:rPr>
          <w:rFonts w:hint="eastAsia" w:ascii="宋体" w:hAnsi="宋体" w:cs="宋体"/>
          <w:b/>
          <w:bCs/>
          <w:sz w:val="18"/>
          <w:szCs w:val="18"/>
        </w:rPr>
        <w:t>5、在乙方对该产品开放电子银行渠道情况下，甲方可以通过乙方的电子银行渠道购买该产品，并接受和认可前述渠道购买该产品的法律效力。</w:t>
      </w:r>
    </w:p>
    <w:p>
      <w:pPr>
        <w:tabs>
          <w:tab w:val="left" w:pos="360"/>
          <w:tab w:val="left" w:pos="600"/>
        </w:tabs>
        <w:autoSpaceDE w:val="0"/>
        <w:autoSpaceDN w:val="0"/>
        <w:adjustRightInd w:val="0"/>
        <w:snapToGrid w:val="0"/>
        <w:spacing w:line="360" w:lineRule="auto"/>
        <w:ind w:firstLine="361" w:firstLineChars="200"/>
        <w:rPr>
          <w:rFonts w:ascii="宋体" w:hAnsi="宋体" w:cs="宋体"/>
          <w:b/>
          <w:bCs/>
          <w:sz w:val="18"/>
          <w:szCs w:val="18"/>
        </w:rPr>
      </w:pPr>
      <w:r>
        <w:rPr>
          <w:rFonts w:hint="eastAsia" w:ascii="宋体" w:hAnsi="宋体" w:cs="宋体"/>
          <w:b/>
          <w:bCs/>
          <w:sz w:val="18"/>
          <w:szCs w:val="18"/>
        </w:rPr>
        <w:t>6、甲方声明，理财资金是甲方有权处分的合法资金，甲方签署本协议符合对甲方具有约束力的法律法规等相关规定，甲方已经获得了充分必要的授权，并具有完全适当的资格与能力订立、接收及履行本协议以及以其为一方的任何有关文件，否则由此产生的后果由甲方自行承担，并赔偿因此给乙方带来的损失。</w:t>
      </w:r>
    </w:p>
    <w:p>
      <w:pPr>
        <w:tabs>
          <w:tab w:val="left" w:pos="360"/>
          <w:tab w:val="left" w:pos="600"/>
        </w:tabs>
        <w:autoSpaceDE w:val="0"/>
        <w:autoSpaceDN w:val="0"/>
        <w:adjustRightInd w:val="0"/>
        <w:snapToGrid w:val="0"/>
        <w:spacing w:line="360" w:lineRule="auto"/>
        <w:rPr>
          <w:rFonts w:ascii="宋体" w:hAnsi="宋体" w:cs="宋体"/>
          <w:b/>
          <w:bCs/>
          <w:sz w:val="18"/>
          <w:szCs w:val="18"/>
        </w:rPr>
      </w:pPr>
      <w:r>
        <w:rPr>
          <w:rFonts w:hint="eastAsia" w:ascii="宋体" w:hAnsi="宋体" w:cs="宋体"/>
          <w:b/>
          <w:bCs/>
          <w:sz w:val="18"/>
          <w:szCs w:val="18"/>
        </w:rPr>
        <w:t>第二条    信息披露</w:t>
      </w:r>
    </w:p>
    <w:p>
      <w:pPr>
        <w:tabs>
          <w:tab w:val="left" w:pos="360"/>
          <w:tab w:val="left" w:pos="600"/>
        </w:tabs>
        <w:autoSpaceDE w:val="0"/>
        <w:autoSpaceDN w:val="0"/>
        <w:adjustRightInd w:val="0"/>
        <w:snapToGrid w:val="0"/>
        <w:spacing w:line="360" w:lineRule="auto"/>
        <w:ind w:firstLine="354" w:firstLineChars="196"/>
        <w:rPr>
          <w:rFonts w:ascii="宋体" w:hAnsi="宋体" w:cs="宋体"/>
          <w:b/>
          <w:bCs/>
          <w:sz w:val="18"/>
          <w:szCs w:val="18"/>
        </w:rPr>
      </w:pPr>
      <w:r>
        <w:rPr>
          <w:rFonts w:hint="eastAsia" w:ascii="宋体" w:hAnsi="宋体" w:cs="宋体"/>
          <w:b/>
          <w:bCs/>
          <w:sz w:val="18"/>
          <w:szCs w:val="18"/>
        </w:rPr>
        <w:t>1、本理财产品存续期间，乙方通过新疆银行营业网点或新疆银行网站（</w:t>
      </w:r>
      <w:r>
        <w:rPr>
          <w:rFonts w:ascii="宋体" w:hAnsi="宋体" w:cs="宋体"/>
          <w:b/>
          <w:bCs/>
          <w:sz w:val="18"/>
          <w:szCs w:val="18"/>
        </w:rPr>
        <w:t>www.xjbank.com</w:t>
      </w:r>
      <w:r>
        <w:rPr>
          <w:rFonts w:hint="eastAsia" w:ascii="宋体" w:hAnsi="宋体" w:cs="宋体"/>
          <w:b/>
          <w:bCs/>
          <w:sz w:val="18"/>
          <w:szCs w:val="18"/>
        </w:rPr>
        <w:t>）、新疆银行官方微信等信息渠道发布有关本理财产品的相关信息，包括产品成立、产品终止、收益率情况等理财产品相关信息（代对账单），具体信息披露详见《产品说明书》。</w:t>
      </w:r>
    </w:p>
    <w:p>
      <w:pPr>
        <w:tabs>
          <w:tab w:val="left" w:pos="360"/>
          <w:tab w:val="left" w:pos="600"/>
        </w:tabs>
        <w:autoSpaceDE w:val="0"/>
        <w:autoSpaceDN w:val="0"/>
        <w:adjustRightInd w:val="0"/>
        <w:snapToGrid w:val="0"/>
        <w:spacing w:line="360" w:lineRule="auto"/>
        <w:ind w:firstLine="361" w:firstLineChars="200"/>
        <w:rPr>
          <w:rFonts w:ascii="宋体" w:hAnsi="宋体" w:cs="宋体"/>
          <w:b/>
          <w:bCs/>
          <w:sz w:val="18"/>
          <w:szCs w:val="18"/>
        </w:rPr>
      </w:pPr>
      <w:r>
        <w:rPr>
          <w:rFonts w:hint="eastAsia" w:ascii="宋体" w:hAnsi="宋体" w:cs="宋体"/>
          <w:b/>
          <w:bCs/>
          <w:sz w:val="18"/>
          <w:szCs w:val="18"/>
        </w:rPr>
        <w:t>2、乙方通过新疆银行营业网点或新疆银行网站（</w:t>
      </w:r>
      <w:r>
        <w:rPr>
          <w:rFonts w:ascii="宋体" w:hAnsi="宋体" w:cs="宋体"/>
          <w:b/>
          <w:bCs/>
          <w:sz w:val="18"/>
          <w:szCs w:val="18"/>
        </w:rPr>
        <w:t>www.xjbank.com</w:t>
      </w:r>
      <w:r>
        <w:rPr>
          <w:rFonts w:hint="eastAsia" w:ascii="宋体" w:hAnsi="宋体" w:cs="宋体"/>
          <w:b/>
          <w:bCs/>
          <w:sz w:val="18"/>
          <w:szCs w:val="18"/>
        </w:rPr>
        <w:t>）、新疆银行官方微信等信息渠道发布上述信息，即视为已适当履行其在本条下的信息披露义务。如乙方认为需要直接联系甲方的，乙方将依据本协议书客户信息中甲方预留的地址或电话进行通知。因甲方原因而导致该等通知失败的，乙方不承担任何责任。</w:t>
      </w:r>
    </w:p>
    <w:p>
      <w:pPr>
        <w:tabs>
          <w:tab w:val="left" w:pos="900"/>
          <w:tab w:val="left" w:pos="1995"/>
        </w:tabs>
        <w:autoSpaceDE w:val="0"/>
        <w:autoSpaceDN w:val="0"/>
        <w:adjustRightInd w:val="0"/>
        <w:snapToGrid w:val="0"/>
        <w:spacing w:line="280" w:lineRule="exact"/>
        <w:rPr>
          <w:rFonts w:ascii="宋体" w:cs="宋体"/>
          <w:b/>
          <w:sz w:val="18"/>
          <w:szCs w:val="18"/>
        </w:rPr>
      </w:pPr>
      <w:r>
        <w:rPr>
          <w:rFonts w:hint="eastAsia" w:ascii="宋体" w:hAnsi="宋体" w:cs="宋体"/>
          <w:b/>
          <w:sz w:val="18"/>
          <w:szCs w:val="18"/>
        </w:rPr>
        <w:t>第三条   税务事项</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甲方所取得理财收益的应缴税款由甲方自行申报及缴纳，乙方不负担就甲方在本理财产品下理财收益缴纳税款的义务。</w:t>
      </w:r>
    </w:p>
    <w:p>
      <w:pPr>
        <w:tabs>
          <w:tab w:val="left" w:pos="900"/>
          <w:tab w:val="left" w:pos="1995"/>
        </w:tabs>
        <w:autoSpaceDE w:val="0"/>
        <w:autoSpaceDN w:val="0"/>
        <w:adjustRightInd w:val="0"/>
        <w:snapToGrid w:val="0"/>
        <w:spacing w:line="280" w:lineRule="exact"/>
        <w:rPr>
          <w:rFonts w:ascii="宋体" w:cs="宋体"/>
          <w:b/>
          <w:sz w:val="18"/>
          <w:szCs w:val="18"/>
        </w:rPr>
      </w:pPr>
      <w:r>
        <w:rPr>
          <w:rFonts w:hint="eastAsia" w:ascii="宋体" w:hAnsi="宋体" w:cs="宋体"/>
          <w:b/>
          <w:sz w:val="18"/>
          <w:szCs w:val="18"/>
        </w:rPr>
        <w:t>第四条    不可抗力</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1、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乙方所引起或能控制的计算机系统、通讯系统、互联网系统、电力系统故障等情形。</w:t>
      </w:r>
    </w:p>
    <w:p>
      <w:pPr>
        <w:tabs>
          <w:tab w:val="left" w:pos="360"/>
          <w:tab w:val="left" w:pos="600"/>
        </w:tabs>
        <w:autoSpaceDE w:val="0"/>
        <w:autoSpaceDN w:val="0"/>
        <w:adjustRightInd w:val="0"/>
        <w:snapToGrid w:val="0"/>
        <w:spacing w:line="360" w:lineRule="auto"/>
        <w:ind w:firstLine="361" w:firstLineChars="200"/>
        <w:rPr>
          <w:rFonts w:ascii="宋体" w:hAnsi="宋体" w:cs="宋体"/>
          <w:b/>
          <w:bCs/>
          <w:sz w:val="18"/>
          <w:szCs w:val="18"/>
        </w:rPr>
      </w:pPr>
      <w:r>
        <w:rPr>
          <w:rFonts w:hint="eastAsia" w:ascii="宋体" w:hAnsi="宋体" w:cs="宋体"/>
          <w:b/>
          <w:bCs/>
          <w:sz w:val="18"/>
          <w:szCs w:val="18"/>
        </w:rPr>
        <w:t>2、对由不可抗力导致的交易中断、延误及由此造成的损失，乙方不承担任何责任，但乙方应在条件允许的情况下，采取必要的补救措施以减少不可抗力造成的损失。</w:t>
      </w:r>
    </w:p>
    <w:p>
      <w:pPr>
        <w:tabs>
          <w:tab w:val="left" w:pos="900"/>
          <w:tab w:val="left" w:pos="1995"/>
        </w:tabs>
        <w:autoSpaceDE w:val="0"/>
        <w:autoSpaceDN w:val="0"/>
        <w:adjustRightInd w:val="0"/>
        <w:snapToGrid w:val="0"/>
        <w:spacing w:line="280" w:lineRule="exact"/>
        <w:rPr>
          <w:rFonts w:ascii="宋体" w:cs="宋体"/>
          <w:b/>
          <w:sz w:val="18"/>
          <w:szCs w:val="18"/>
        </w:rPr>
      </w:pPr>
      <w:r>
        <w:rPr>
          <w:rFonts w:hint="eastAsia" w:ascii="宋体" w:hAnsi="宋体" w:cs="宋体"/>
          <w:b/>
          <w:sz w:val="18"/>
          <w:szCs w:val="18"/>
        </w:rPr>
        <w:t>第五条违约责任与争议处理</w:t>
      </w:r>
    </w:p>
    <w:p>
      <w:pPr>
        <w:tabs>
          <w:tab w:val="left" w:pos="360"/>
          <w:tab w:val="left" w:pos="600"/>
        </w:tabs>
        <w:autoSpaceDE w:val="0"/>
        <w:autoSpaceDN w:val="0"/>
        <w:adjustRightInd w:val="0"/>
        <w:snapToGrid w:val="0"/>
        <w:spacing w:line="360" w:lineRule="auto"/>
        <w:ind w:firstLine="360" w:firstLineChars="200"/>
        <w:rPr>
          <w:rFonts w:ascii="宋体" w:hAnsi="宋体" w:cs="宋体"/>
          <w:sz w:val="18"/>
          <w:szCs w:val="18"/>
        </w:rPr>
      </w:pPr>
      <w:r>
        <w:rPr>
          <w:rFonts w:hint="eastAsia" w:ascii="宋体" w:hAnsi="宋体" w:cs="宋体"/>
          <w:sz w:val="18"/>
          <w:szCs w:val="18"/>
        </w:rPr>
        <w:t>1、由于本协议一方当事人的过错，造成本协议不能履行或不能完全履行的，由有过错的一方承担违约责任；如双方同时负有过错，则应由双方各自按照过错程度承担责任。</w:t>
      </w:r>
    </w:p>
    <w:p>
      <w:pPr>
        <w:tabs>
          <w:tab w:val="left" w:pos="360"/>
          <w:tab w:val="left" w:pos="600"/>
        </w:tabs>
        <w:autoSpaceDE w:val="0"/>
        <w:autoSpaceDN w:val="0"/>
        <w:adjustRightInd w:val="0"/>
        <w:snapToGrid w:val="0"/>
        <w:spacing w:line="360" w:lineRule="auto"/>
        <w:ind w:firstLine="360" w:firstLineChars="200"/>
        <w:rPr>
          <w:rFonts w:ascii="宋体" w:hAnsi="宋体" w:cs="宋体"/>
          <w:sz w:val="18"/>
          <w:szCs w:val="18"/>
        </w:rPr>
      </w:pPr>
      <w:r>
        <w:rPr>
          <w:rFonts w:hint="eastAsia" w:ascii="宋体" w:hAnsi="宋体" w:cs="宋体"/>
          <w:sz w:val="18"/>
          <w:szCs w:val="18"/>
        </w:rPr>
        <w:t>2、双方同意，发生下列情况造成损失时，按以下约定承担责任：</w:t>
      </w:r>
    </w:p>
    <w:p>
      <w:pPr>
        <w:tabs>
          <w:tab w:val="left" w:pos="360"/>
          <w:tab w:val="left" w:pos="600"/>
        </w:tabs>
        <w:autoSpaceDE w:val="0"/>
        <w:autoSpaceDN w:val="0"/>
        <w:adjustRightInd w:val="0"/>
        <w:snapToGrid w:val="0"/>
        <w:spacing w:line="360" w:lineRule="auto"/>
        <w:ind w:firstLine="180" w:firstLineChars="100"/>
        <w:rPr>
          <w:rFonts w:ascii="宋体" w:hAnsi="宋体" w:cs="宋体"/>
          <w:sz w:val="18"/>
          <w:szCs w:val="18"/>
        </w:rPr>
      </w:pPr>
      <w:r>
        <w:rPr>
          <w:rFonts w:hint="eastAsia" w:ascii="宋体" w:hAnsi="宋体" w:cs="宋体"/>
          <w:sz w:val="18"/>
          <w:szCs w:val="18"/>
        </w:rPr>
        <w:t>（1）对由于国家有关法律、法规、规章、政策的变化，监管机构管理规则的修改、紧急措施的出台等原因而导致的相关风险及损失，双方当事人互不承担责任；</w:t>
      </w:r>
    </w:p>
    <w:p>
      <w:pPr>
        <w:tabs>
          <w:tab w:val="left" w:pos="360"/>
          <w:tab w:val="left" w:pos="600"/>
        </w:tabs>
        <w:autoSpaceDE w:val="0"/>
        <w:autoSpaceDN w:val="0"/>
        <w:adjustRightInd w:val="0"/>
        <w:snapToGrid w:val="0"/>
        <w:spacing w:line="360" w:lineRule="auto"/>
        <w:ind w:firstLine="180" w:firstLineChars="100"/>
        <w:rPr>
          <w:rFonts w:ascii="宋体" w:hAnsi="宋体" w:cs="宋体"/>
          <w:sz w:val="18"/>
          <w:szCs w:val="18"/>
        </w:rPr>
      </w:pPr>
      <w:r>
        <w:rPr>
          <w:rFonts w:hint="eastAsia" w:ascii="宋体" w:hAnsi="宋体" w:cs="宋体"/>
          <w:sz w:val="18"/>
          <w:szCs w:val="18"/>
        </w:rPr>
        <w:t>（2）本协议书中涉及的所有日期如遇非工作日，则乙方有权做相应调整，由此产生的风险及损失双方当事人互不承担责任；</w:t>
      </w:r>
    </w:p>
    <w:p>
      <w:pPr>
        <w:tabs>
          <w:tab w:val="left" w:pos="360"/>
          <w:tab w:val="left" w:pos="600"/>
        </w:tabs>
        <w:autoSpaceDE w:val="0"/>
        <w:autoSpaceDN w:val="0"/>
        <w:adjustRightInd w:val="0"/>
        <w:snapToGrid w:val="0"/>
        <w:spacing w:line="360" w:lineRule="auto"/>
        <w:ind w:firstLine="180" w:firstLineChars="100"/>
        <w:rPr>
          <w:rFonts w:ascii="宋体" w:hAnsi="宋体" w:cs="宋体"/>
          <w:b/>
          <w:sz w:val="18"/>
          <w:szCs w:val="18"/>
        </w:rPr>
      </w:pPr>
      <w:r>
        <w:rPr>
          <w:rFonts w:hint="eastAsia" w:ascii="宋体" w:hAnsi="宋体" w:cs="宋体"/>
          <w:sz w:val="18"/>
          <w:szCs w:val="18"/>
        </w:rPr>
        <w:t>（3）</w:t>
      </w:r>
      <w:r>
        <w:rPr>
          <w:rFonts w:hint="eastAsia" w:ascii="宋体" w:hAnsi="宋体" w:cs="宋体"/>
          <w:b/>
          <w:sz w:val="18"/>
          <w:szCs w:val="18"/>
        </w:rPr>
        <w:t>如本理财产品甲方所涉及的资金被有权机关全部或部分冻结或者扣划，乙方有权提前终止本合同，且乙方不承担任何责任，如因此给乙方或产品其他客户造成损失的，甲方应承担违约责任。</w:t>
      </w:r>
    </w:p>
    <w:p>
      <w:pPr>
        <w:tabs>
          <w:tab w:val="left" w:pos="360"/>
          <w:tab w:val="left" w:pos="600"/>
        </w:tabs>
        <w:autoSpaceDE w:val="0"/>
        <w:autoSpaceDN w:val="0"/>
        <w:adjustRightInd w:val="0"/>
        <w:snapToGrid w:val="0"/>
        <w:spacing w:line="360" w:lineRule="auto"/>
        <w:ind w:firstLine="360" w:firstLineChars="200"/>
        <w:rPr>
          <w:rFonts w:ascii="宋体" w:hAnsi="宋体" w:cs="宋体"/>
          <w:sz w:val="18"/>
          <w:szCs w:val="18"/>
        </w:rPr>
      </w:pPr>
      <w:r>
        <w:rPr>
          <w:rFonts w:hint="eastAsia" w:ascii="宋体" w:hAnsi="宋体" w:cs="宋体"/>
          <w:sz w:val="18"/>
          <w:szCs w:val="18"/>
        </w:rPr>
        <w:t>3、甲乙双方在本协议书的执行过程中发生的任何争议，应通过友好协商解决。如协商不成，任何一方可向乙方所在地人民法院提起诉讼。</w:t>
      </w:r>
    </w:p>
    <w:p>
      <w:pPr>
        <w:tabs>
          <w:tab w:val="left" w:pos="900"/>
          <w:tab w:val="left" w:pos="1995"/>
        </w:tabs>
        <w:autoSpaceDE w:val="0"/>
        <w:autoSpaceDN w:val="0"/>
        <w:adjustRightInd w:val="0"/>
        <w:snapToGrid w:val="0"/>
        <w:spacing w:line="280" w:lineRule="exact"/>
        <w:rPr>
          <w:rFonts w:ascii="宋体" w:cs="宋体"/>
          <w:b/>
          <w:sz w:val="18"/>
          <w:szCs w:val="18"/>
        </w:rPr>
      </w:pPr>
      <w:r>
        <w:rPr>
          <w:rFonts w:hint="eastAsia" w:ascii="宋体" w:hAnsi="宋体" w:cs="宋体"/>
          <w:b/>
          <w:sz w:val="18"/>
          <w:szCs w:val="18"/>
        </w:rPr>
        <w:t>第六条协议的签署和生效</w:t>
      </w:r>
    </w:p>
    <w:p>
      <w:pPr>
        <w:tabs>
          <w:tab w:val="left" w:pos="360"/>
          <w:tab w:val="left" w:pos="600"/>
        </w:tabs>
        <w:autoSpaceDE w:val="0"/>
        <w:autoSpaceDN w:val="0"/>
        <w:adjustRightInd w:val="0"/>
        <w:snapToGrid w:val="0"/>
        <w:spacing w:line="360" w:lineRule="auto"/>
        <w:ind w:firstLine="360" w:firstLineChars="200"/>
        <w:rPr>
          <w:rFonts w:ascii="宋体" w:hAnsi="宋体" w:cs="宋体"/>
          <w:sz w:val="18"/>
          <w:szCs w:val="18"/>
        </w:rPr>
      </w:pPr>
      <w:r>
        <w:rPr>
          <w:rFonts w:hint="eastAsia" w:ascii="宋体" w:hAnsi="宋体" w:cs="宋体"/>
          <w:sz w:val="18"/>
          <w:szCs w:val="18"/>
        </w:rPr>
        <w:t>1、《产品说明书》、《风险揭示书》、《客户权益须知》构成本协议不可分割的组成部分，与本协议具有同等效力。</w:t>
      </w:r>
    </w:p>
    <w:p>
      <w:pPr>
        <w:tabs>
          <w:tab w:val="left" w:pos="360"/>
          <w:tab w:val="left" w:pos="600"/>
        </w:tabs>
        <w:autoSpaceDE w:val="0"/>
        <w:autoSpaceDN w:val="0"/>
        <w:adjustRightInd w:val="0"/>
        <w:snapToGrid w:val="0"/>
        <w:spacing w:line="360" w:lineRule="auto"/>
        <w:ind w:firstLine="358" w:firstLineChars="198"/>
        <w:rPr>
          <w:rFonts w:ascii="宋体" w:hAnsi="宋体" w:cs="宋体"/>
          <w:b/>
          <w:sz w:val="18"/>
          <w:szCs w:val="18"/>
        </w:rPr>
      </w:pPr>
      <w:r>
        <w:rPr>
          <w:rFonts w:hint="eastAsia" w:ascii="宋体" w:hAnsi="宋体" w:cs="宋体"/>
          <w:b/>
          <w:sz w:val="18"/>
          <w:szCs w:val="18"/>
        </w:rPr>
        <w:t>2、甲方签署本协议即视为甲方已经阅读并认可本协议和《产品说明书》、《风险揭示书》、《客户权益须知》的全部内容，并已就投资于本理财产品做出独立的判断。</w:t>
      </w:r>
    </w:p>
    <w:p>
      <w:pPr>
        <w:tabs>
          <w:tab w:val="left" w:pos="360"/>
          <w:tab w:val="left" w:pos="600"/>
        </w:tabs>
        <w:autoSpaceDE w:val="0"/>
        <w:autoSpaceDN w:val="0"/>
        <w:adjustRightInd w:val="0"/>
        <w:snapToGrid w:val="0"/>
        <w:spacing w:line="360" w:lineRule="auto"/>
        <w:ind w:firstLine="358" w:firstLineChars="198"/>
        <w:rPr>
          <w:rFonts w:ascii="宋体" w:hAnsi="宋体" w:cs="宋体"/>
          <w:b/>
          <w:sz w:val="18"/>
          <w:szCs w:val="18"/>
        </w:rPr>
      </w:pPr>
      <w:r>
        <w:rPr>
          <w:rFonts w:hint="eastAsia" w:ascii="宋体" w:hAnsi="宋体" w:cs="宋体"/>
          <w:b/>
          <w:sz w:val="18"/>
          <w:szCs w:val="18"/>
        </w:rPr>
        <w:t>3、本协议于甲乙双方签署之日起生效。若乙方通过电子银行渠道销售本理财产品且甲方通过电子银行渠道购买，则本协议经甲方点击确认并经乙方电子银行销售系统确认成交之日起生效。</w:t>
      </w:r>
    </w:p>
    <w:p>
      <w:pPr>
        <w:tabs>
          <w:tab w:val="left" w:pos="360"/>
          <w:tab w:val="left" w:pos="600"/>
        </w:tabs>
        <w:autoSpaceDE w:val="0"/>
        <w:autoSpaceDN w:val="0"/>
        <w:adjustRightInd w:val="0"/>
        <w:snapToGrid w:val="0"/>
        <w:spacing w:line="360" w:lineRule="auto"/>
        <w:ind w:firstLine="358" w:firstLineChars="198"/>
        <w:rPr>
          <w:rFonts w:ascii="宋体" w:hAnsi="宋体" w:cs="宋体"/>
          <w:b/>
          <w:sz w:val="18"/>
          <w:szCs w:val="18"/>
        </w:rPr>
      </w:pPr>
      <w:r>
        <w:rPr>
          <w:rFonts w:hint="eastAsia" w:ascii="宋体" w:hAnsi="宋体" w:cs="宋体"/>
          <w:b/>
          <w:sz w:val="18"/>
          <w:szCs w:val="18"/>
        </w:rPr>
        <w:t>4、乙方依据《产品说明书》的规定对本理财产品做出的修改视为对本协议的变更，并于乙方将该等修改通过新疆银行各营业网点或新疆银行网站公布之日起生效。</w:t>
      </w:r>
    </w:p>
    <w:p>
      <w:pPr>
        <w:tabs>
          <w:tab w:val="left" w:pos="360"/>
          <w:tab w:val="left" w:pos="600"/>
        </w:tabs>
        <w:autoSpaceDE w:val="0"/>
        <w:autoSpaceDN w:val="0"/>
        <w:adjustRightInd w:val="0"/>
        <w:snapToGrid w:val="0"/>
        <w:spacing w:line="360" w:lineRule="auto"/>
        <w:ind w:firstLine="358" w:firstLineChars="198"/>
        <w:rPr>
          <w:rFonts w:ascii="宋体" w:hAnsi="宋体" w:cs="宋体"/>
          <w:b/>
          <w:sz w:val="18"/>
          <w:szCs w:val="18"/>
        </w:rPr>
      </w:pPr>
      <w:r>
        <w:rPr>
          <w:rFonts w:hint="eastAsia" w:ascii="宋体" w:hAnsi="宋体" w:cs="宋体"/>
          <w:b/>
          <w:sz w:val="18"/>
          <w:szCs w:val="18"/>
        </w:rPr>
        <w:t>5、本协议书具备独立性。如甲方与乙方之间存在多份协议书，则各协议书之间相互独立，每一份协议书的效力及履行情况均独立于其他协</w:t>
      </w:r>
      <w:bookmarkStart w:id="0" w:name="_GoBack"/>
      <w:bookmarkEnd w:id="0"/>
      <w:r>
        <w:rPr>
          <w:rFonts w:hint="eastAsia" w:ascii="宋体" w:hAnsi="宋体" w:cs="宋体"/>
          <w:b/>
          <w:sz w:val="18"/>
          <w:szCs w:val="18"/>
        </w:rPr>
        <w:t>议书。如果由于任何原因，使得本协议下的任何条款或内容成为无效或被依法撤销，本协议其他条款或内容的合法性、有效性和可执行性不受影响。</w:t>
      </w:r>
    </w:p>
    <w:p>
      <w:pPr>
        <w:tabs>
          <w:tab w:val="left" w:pos="360"/>
          <w:tab w:val="left" w:pos="600"/>
        </w:tabs>
        <w:autoSpaceDE w:val="0"/>
        <w:autoSpaceDN w:val="0"/>
        <w:adjustRightInd w:val="0"/>
        <w:snapToGrid w:val="0"/>
        <w:spacing w:line="360" w:lineRule="auto"/>
        <w:ind w:firstLine="361" w:firstLineChars="200"/>
        <w:rPr>
          <w:rFonts w:ascii="宋体" w:hAnsi="宋体" w:cs="宋体"/>
          <w:b/>
          <w:sz w:val="18"/>
          <w:szCs w:val="18"/>
        </w:rPr>
      </w:pPr>
      <w:r>
        <w:rPr>
          <w:rFonts w:hint="eastAsia" w:ascii="宋体" w:hAnsi="宋体" w:cs="宋体"/>
          <w:b/>
          <w:sz w:val="18"/>
          <w:szCs w:val="18"/>
        </w:rPr>
        <w:t>6、本协议书一式两份，甲方一份，乙方一份，具有同等法律效力。</w:t>
      </w: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ind w:left="360"/>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r>
        <w:pict>
          <v:shape id="_x0000_s1026" o:spid="_x0000_s1026" o:spt="202" type="#_x0000_t202" style="position:absolute;left:0pt;margin-left:0.75pt;margin-top:-24pt;height:263.75pt;width:460.65pt;z-index:1024;mso-width-relative:page;mso-height-relative:page;" filled="f" stroked="t" coordsize="21600,21600" o:gfxdata="UEsDBAoAAAAAAIdO4kAAAAAAAAAAAAAAAAAEAAAAZHJzL1BLAwQUAAAACACHTuJAl3LMytgAAAAJ&#10;AQAADwAAAGRycy9kb3ducmV2LnhtbE2PQU+DQBSE7yb9D5vXxFu7lLQWkKWJTUzUm7RGj1v2CSj7&#10;FtktxX/v86THyUy+mcl3k+3EiINvHSlYLSMQSJUzLdUKjof7RQLCB01Gd45QwTd62BWzq1xnxl3o&#10;Gccy1IIh5DOtoAmhz6T0VYNW+6Xrkdh7d4PVgeVQSzPoC8NtJ+MoupFWt8QNje5x32D1WZ6tgvX4&#10;Nb1g0qevd0/7jzQ8PpTbN6fU9XwV3YIIOIW/MPzO5+lQ8KaTO5PxomO94aCCxTrhS+ynccxXTgzf&#10;phuQRS7/Pyh+AFBLAwQUAAAACACHTuJA3FWWTfUBAADPAwAADgAAAGRycy9lMm9Eb2MueG1srVPN&#10;jtMwEL4j8Q6W7zTZlqx2o6YrQVkuCJAWHmDqn8SS/2R7m/QF4A04ceHOc/U5duyUssAFIXJwJjPj&#10;b2a++bK+mYwmexGicrajF4uaEmGZ48r2Hf344fbZFSUxgeWgnRUdPYhIbzZPn6xH34qlG5zmIhAE&#10;sbEdfUeHlHxbVZENwkBcOC8sBqULBhJ+hr7iAUZEN7pa1vVlNbrAfXBMxIje7Rykm4IvpWDpnZRR&#10;JKI7ir2lcoZy7vJZbdbQ9gH8oNipDfiHLgwoi0XPUFtIQO6D+gPKKBZcdDItmDOVk1IxUWbAaS7q&#10;36a5G8CLMguSE/2Zpvj/YNnb/ftAFMfdUWLB4IqOXz4fv34/fvtElpme0ccWs+485qXphZty6skf&#10;0ZmnnmQw+Y3zEIwj0YczuWJKhKGzuWrqZdNQwjC2Wj2/vlw2Gaf6ed2HmF4LZ0g2Ohpwe4VU2L+J&#10;aU79kZKrWXertEY/tNqSEfu6rhuszQCFJDUkNI3H0aLtC050WvF8J1+Jod+91IHsAaWxwqcuasB2&#10;fknLBbcQhzmvhGbRGJVEKMUHAfyV5SQdPNJnUec0d2MEp0QL/C2yVTITKP03mdiEtrlJUSR8mj5v&#10;YmY8W2naTQiazZ3jB9zOvQ+qH5C4sp8qR1A1heGTwrMsH3+j/fg/3Dw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l3LMytgAAAAJAQAADwAAAAAAAAABACAAAAAiAAAAZHJzL2Rvd25yZXYueG1sUEsB&#10;AhQAFAAAAAgAh07iQNxVlk31AQAAzwMAAA4AAAAAAAAAAQAgAAAAJwEAAGRycy9lMm9Eb2MueG1s&#10;UEsFBgAAAAAGAAYAWQEAAI4FAAAAAA==&#10;">
            <v:path/>
            <v:fill on="f" focussize="0,0"/>
            <v:stroke weight="1.5pt" color="#333300" joinstyle="miter"/>
            <v:imagedata o:title=""/>
            <o:lock v:ext="edit"/>
            <v:textbox>
              <w:txbxContent>
                <w:p>
                  <w:pPr>
                    <w:tabs>
                      <w:tab w:val="left" w:pos="8070"/>
                      <w:tab w:val="right" w:pos="8306"/>
                    </w:tabs>
                    <w:autoSpaceDE w:val="0"/>
                    <w:autoSpaceDN w:val="0"/>
                    <w:adjustRightInd w:val="0"/>
                    <w:snapToGrid w:val="0"/>
                    <w:spacing w:line="280" w:lineRule="exact"/>
                    <w:rPr>
                      <w:rFonts w:ascii="宋体"/>
                      <w:b/>
                      <w:sz w:val="18"/>
                      <w:szCs w:val="18"/>
                    </w:rPr>
                  </w:pPr>
                  <w:r>
                    <w:rPr>
                      <w:rFonts w:hint="eastAsia" w:ascii="宋体" w:hAnsi="宋体"/>
                      <w:b/>
                      <w:sz w:val="18"/>
                      <w:szCs w:val="18"/>
                    </w:rPr>
                    <w:t>甲方声明：在签署本理财产品协议书以前，甲方已认真阅读《产品说明书》、《风险揭示书》、《客户权益须知》和本协议书的全部内容，明确本理财产品为委托代理性质，愿意承担投资风险，对有关条款不存在任何疑问或异议，并对协议双方的权利、义务、责任与风险有清楚和准确的理解，甲方做出的任何决策均出于自身独立的判断，是甲方真实的意思表示。</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甲方（签章）：</w:t>
                  </w:r>
                  <w:r>
                    <w:rPr>
                      <w:rFonts w:ascii="宋体"/>
                      <w:sz w:val="18"/>
                      <w:szCs w:val="18"/>
                    </w:rPr>
                    <w:tab/>
                  </w:r>
                  <w:r>
                    <w:rPr>
                      <w:rFonts w:hint="eastAsia" w:ascii="宋体" w:hAnsi="宋体"/>
                      <w:sz w:val="18"/>
                      <w:szCs w:val="18"/>
                    </w:rPr>
                    <w:t>乙方（盖章）：</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 xml:space="preserve">日期：  </w:t>
                  </w:r>
                  <w:r>
                    <w:rPr>
                      <w:rFonts w:hint="eastAsia" w:ascii="宋体" w:hAnsi="宋体"/>
                      <w:sz w:val="18"/>
                      <w:szCs w:val="18"/>
                      <w:lang w:val="en-US" w:eastAsia="zh-CN"/>
                    </w:rPr>
                    <w:t>2020</w:t>
                  </w:r>
                  <w:r>
                    <w:rPr>
                      <w:rFonts w:hint="eastAsia" w:ascii="宋体" w:hAnsi="宋体"/>
                      <w:sz w:val="18"/>
                      <w:szCs w:val="18"/>
                    </w:rPr>
                    <w:t>年</w:t>
                  </w:r>
                  <w:r>
                    <w:rPr>
                      <w:rFonts w:hint="eastAsia" w:ascii="宋体" w:hAnsi="宋体"/>
                      <w:sz w:val="18"/>
                      <w:szCs w:val="18"/>
                      <w:lang w:val="en-US" w:eastAsia="zh-CN"/>
                    </w:rPr>
                    <w:t>4</w:t>
                  </w:r>
                  <w:r>
                    <w:rPr>
                      <w:rFonts w:hint="eastAsia" w:ascii="宋体" w:hAnsi="宋体"/>
                      <w:sz w:val="18"/>
                      <w:szCs w:val="18"/>
                    </w:rPr>
                    <w:t>月</w:t>
                  </w:r>
                  <w:r>
                    <w:rPr>
                      <w:rFonts w:hint="eastAsia" w:ascii="宋体" w:hAnsi="宋体"/>
                      <w:sz w:val="18"/>
                      <w:szCs w:val="18"/>
                      <w:lang w:val="en-US" w:eastAsia="zh-CN"/>
                    </w:rPr>
                    <w:t>15</w:t>
                  </w:r>
                  <w:r>
                    <w:rPr>
                      <w:rFonts w:hint="eastAsia" w:ascii="宋体" w:hAnsi="宋体"/>
                      <w:sz w:val="18"/>
                      <w:szCs w:val="18"/>
                    </w:rPr>
                    <w:t>日</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adjustRightInd w:val="0"/>
                    <w:snapToGrid w:val="0"/>
                    <w:spacing w:line="360" w:lineRule="auto"/>
                    <w:rPr>
                      <w:rFonts w:ascii="宋体"/>
                      <w:sz w:val="18"/>
                      <w:szCs w:val="18"/>
                    </w:rPr>
                  </w:pPr>
                </w:p>
                <w:p>
                  <w:pPr>
                    <w:ind w:left="4200" w:firstLine="420"/>
                  </w:pPr>
                </w:p>
              </w:txbxContent>
            </v:textbox>
          </v:shape>
        </w:pict>
      </w: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ind w:firstLine="643"/>
        <w:jc w:val="center"/>
        <w:rPr>
          <w:rFonts w:ascii="方正大黑简体" w:hAnsi="宋体" w:eastAsia="方正大黑简体" w:cs="宋体"/>
          <w:b/>
          <w:sz w:val="32"/>
          <w:szCs w:val="32"/>
        </w:rPr>
      </w:pP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大黑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D7E0E"/>
    <w:multiLevelType w:val="multilevel"/>
    <w:tmpl w:val="2FCD7E0E"/>
    <w:lvl w:ilvl="0" w:tentative="0">
      <w:start w:val="1"/>
      <w:numFmt w:val="decimalEnclosedCircle"/>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4372E6"/>
    <w:rsid w:val="00000156"/>
    <w:rsid w:val="00003317"/>
    <w:rsid w:val="00012FB2"/>
    <w:rsid w:val="00020672"/>
    <w:rsid w:val="00027FAC"/>
    <w:rsid w:val="00051620"/>
    <w:rsid w:val="00051AEA"/>
    <w:rsid w:val="000602F0"/>
    <w:rsid w:val="00060FD1"/>
    <w:rsid w:val="00063669"/>
    <w:rsid w:val="00067B33"/>
    <w:rsid w:val="00080D76"/>
    <w:rsid w:val="00097F15"/>
    <w:rsid w:val="000B43F1"/>
    <w:rsid w:val="000D4907"/>
    <w:rsid w:val="000E1020"/>
    <w:rsid w:val="000E28BE"/>
    <w:rsid w:val="000F0461"/>
    <w:rsid w:val="000F0E11"/>
    <w:rsid w:val="0012188C"/>
    <w:rsid w:val="00132AD3"/>
    <w:rsid w:val="00162098"/>
    <w:rsid w:val="0018073E"/>
    <w:rsid w:val="001B2FF5"/>
    <w:rsid w:val="001B37A6"/>
    <w:rsid w:val="001D7B70"/>
    <w:rsid w:val="001E7042"/>
    <w:rsid w:val="002017B7"/>
    <w:rsid w:val="002022BA"/>
    <w:rsid w:val="0020276D"/>
    <w:rsid w:val="002132F0"/>
    <w:rsid w:val="002171E4"/>
    <w:rsid w:val="00222ECB"/>
    <w:rsid w:val="00223A56"/>
    <w:rsid w:val="002261F7"/>
    <w:rsid w:val="00247B62"/>
    <w:rsid w:val="00251DD1"/>
    <w:rsid w:val="002950D6"/>
    <w:rsid w:val="00297520"/>
    <w:rsid w:val="002A7BF5"/>
    <w:rsid w:val="002C08BB"/>
    <w:rsid w:val="002C169A"/>
    <w:rsid w:val="002D1F74"/>
    <w:rsid w:val="002D4947"/>
    <w:rsid w:val="002F514A"/>
    <w:rsid w:val="002F6D6F"/>
    <w:rsid w:val="00307275"/>
    <w:rsid w:val="00307ECE"/>
    <w:rsid w:val="003260BF"/>
    <w:rsid w:val="003452B3"/>
    <w:rsid w:val="00371EC6"/>
    <w:rsid w:val="003E48A3"/>
    <w:rsid w:val="003E5BF2"/>
    <w:rsid w:val="003F4CF8"/>
    <w:rsid w:val="00407810"/>
    <w:rsid w:val="0041004E"/>
    <w:rsid w:val="00410488"/>
    <w:rsid w:val="00415C5E"/>
    <w:rsid w:val="00422E9C"/>
    <w:rsid w:val="004372E6"/>
    <w:rsid w:val="0044258B"/>
    <w:rsid w:val="00454088"/>
    <w:rsid w:val="004569CD"/>
    <w:rsid w:val="004611CC"/>
    <w:rsid w:val="00471ABD"/>
    <w:rsid w:val="004852E4"/>
    <w:rsid w:val="0049434F"/>
    <w:rsid w:val="004B5069"/>
    <w:rsid w:val="004C0D7C"/>
    <w:rsid w:val="004D403A"/>
    <w:rsid w:val="004F4770"/>
    <w:rsid w:val="004F7DA2"/>
    <w:rsid w:val="005032A6"/>
    <w:rsid w:val="00515D51"/>
    <w:rsid w:val="0054494B"/>
    <w:rsid w:val="005540D6"/>
    <w:rsid w:val="00555012"/>
    <w:rsid w:val="00557771"/>
    <w:rsid w:val="00565135"/>
    <w:rsid w:val="005A5D6C"/>
    <w:rsid w:val="005E39C3"/>
    <w:rsid w:val="005F37B5"/>
    <w:rsid w:val="00621975"/>
    <w:rsid w:val="00625203"/>
    <w:rsid w:val="00632EEB"/>
    <w:rsid w:val="00636F5C"/>
    <w:rsid w:val="00653CB6"/>
    <w:rsid w:val="006547E3"/>
    <w:rsid w:val="00655985"/>
    <w:rsid w:val="00693257"/>
    <w:rsid w:val="00696C1F"/>
    <w:rsid w:val="006B76F1"/>
    <w:rsid w:val="006C755E"/>
    <w:rsid w:val="006D6427"/>
    <w:rsid w:val="00786DE6"/>
    <w:rsid w:val="007A00FB"/>
    <w:rsid w:val="007E298F"/>
    <w:rsid w:val="00830099"/>
    <w:rsid w:val="00856097"/>
    <w:rsid w:val="00856103"/>
    <w:rsid w:val="008934B3"/>
    <w:rsid w:val="008A1678"/>
    <w:rsid w:val="008B6D17"/>
    <w:rsid w:val="008E014C"/>
    <w:rsid w:val="008F18FA"/>
    <w:rsid w:val="008F7971"/>
    <w:rsid w:val="00910BB8"/>
    <w:rsid w:val="009332AD"/>
    <w:rsid w:val="00933FC6"/>
    <w:rsid w:val="00966C01"/>
    <w:rsid w:val="0098470F"/>
    <w:rsid w:val="009B516F"/>
    <w:rsid w:val="009C5CB5"/>
    <w:rsid w:val="009D08DF"/>
    <w:rsid w:val="009D2535"/>
    <w:rsid w:val="009D769B"/>
    <w:rsid w:val="009E63DF"/>
    <w:rsid w:val="009F5BCB"/>
    <w:rsid w:val="00A032E4"/>
    <w:rsid w:val="00A04E0C"/>
    <w:rsid w:val="00A10E0E"/>
    <w:rsid w:val="00A2353B"/>
    <w:rsid w:val="00A3280C"/>
    <w:rsid w:val="00A670A8"/>
    <w:rsid w:val="00A71711"/>
    <w:rsid w:val="00A742A4"/>
    <w:rsid w:val="00A91D4E"/>
    <w:rsid w:val="00AC17BC"/>
    <w:rsid w:val="00AE5E23"/>
    <w:rsid w:val="00AF0482"/>
    <w:rsid w:val="00B00FD5"/>
    <w:rsid w:val="00B14794"/>
    <w:rsid w:val="00B460D7"/>
    <w:rsid w:val="00B80A77"/>
    <w:rsid w:val="00B92BA2"/>
    <w:rsid w:val="00B9345D"/>
    <w:rsid w:val="00B95FD8"/>
    <w:rsid w:val="00B961E2"/>
    <w:rsid w:val="00BB2421"/>
    <w:rsid w:val="00BB2CA9"/>
    <w:rsid w:val="00BC7DF9"/>
    <w:rsid w:val="00BD6D92"/>
    <w:rsid w:val="00BE7C62"/>
    <w:rsid w:val="00C04291"/>
    <w:rsid w:val="00C30C9D"/>
    <w:rsid w:val="00C352B5"/>
    <w:rsid w:val="00C36154"/>
    <w:rsid w:val="00C3791F"/>
    <w:rsid w:val="00C43FB7"/>
    <w:rsid w:val="00C5155F"/>
    <w:rsid w:val="00C51D88"/>
    <w:rsid w:val="00C71F0F"/>
    <w:rsid w:val="00C761F1"/>
    <w:rsid w:val="00C960CA"/>
    <w:rsid w:val="00CA679E"/>
    <w:rsid w:val="00CB2E58"/>
    <w:rsid w:val="00CB439B"/>
    <w:rsid w:val="00CD2A45"/>
    <w:rsid w:val="00CD7635"/>
    <w:rsid w:val="00CE0312"/>
    <w:rsid w:val="00D13F50"/>
    <w:rsid w:val="00D164F7"/>
    <w:rsid w:val="00D36CA1"/>
    <w:rsid w:val="00D52E6C"/>
    <w:rsid w:val="00D637B5"/>
    <w:rsid w:val="00D64CD1"/>
    <w:rsid w:val="00DB5440"/>
    <w:rsid w:val="00DC25C4"/>
    <w:rsid w:val="00DE08C3"/>
    <w:rsid w:val="00DE649F"/>
    <w:rsid w:val="00DF17C6"/>
    <w:rsid w:val="00E115A3"/>
    <w:rsid w:val="00E2134F"/>
    <w:rsid w:val="00E432AA"/>
    <w:rsid w:val="00E45106"/>
    <w:rsid w:val="00E466DC"/>
    <w:rsid w:val="00E50F63"/>
    <w:rsid w:val="00E72401"/>
    <w:rsid w:val="00E80617"/>
    <w:rsid w:val="00E865F3"/>
    <w:rsid w:val="00E86D7C"/>
    <w:rsid w:val="00E9058C"/>
    <w:rsid w:val="00E93E51"/>
    <w:rsid w:val="00EA58AE"/>
    <w:rsid w:val="00EB0FE3"/>
    <w:rsid w:val="00EB7B01"/>
    <w:rsid w:val="00EC31B6"/>
    <w:rsid w:val="00EC7C40"/>
    <w:rsid w:val="00F05706"/>
    <w:rsid w:val="00F222B4"/>
    <w:rsid w:val="00F24E53"/>
    <w:rsid w:val="00F7266D"/>
    <w:rsid w:val="00FA5692"/>
    <w:rsid w:val="00FB4FCB"/>
    <w:rsid w:val="00FB7080"/>
    <w:rsid w:val="00FC6F14"/>
    <w:rsid w:val="00FC7A37"/>
    <w:rsid w:val="00FD3966"/>
    <w:rsid w:val="00FE6564"/>
    <w:rsid w:val="094A632D"/>
    <w:rsid w:val="0C0A5F66"/>
    <w:rsid w:val="0CE66975"/>
    <w:rsid w:val="0E594F1F"/>
    <w:rsid w:val="11AB4215"/>
    <w:rsid w:val="11FF61CA"/>
    <w:rsid w:val="12DF3C7E"/>
    <w:rsid w:val="14D872B1"/>
    <w:rsid w:val="159F06B2"/>
    <w:rsid w:val="17213CD4"/>
    <w:rsid w:val="17D158C7"/>
    <w:rsid w:val="18EF5C0C"/>
    <w:rsid w:val="18F725F2"/>
    <w:rsid w:val="18FA3DF1"/>
    <w:rsid w:val="1CDE127E"/>
    <w:rsid w:val="1E17258C"/>
    <w:rsid w:val="1E92436A"/>
    <w:rsid w:val="1EC6317B"/>
    <w:rsid w:val="1FAB11F5"/>
    <w:rsid w:val="20595FF1"/>
    <w:rsid w:val="210F3021"/>
    <w:rsid w:val="21DF7D80"/>
    <w:rsid w:val="23B56A8C"/>
    <w:rsid w:val="27780A6A"/>
    <w:rsid w:val="2EAB2900"/>
    <w:rsid w:val="34DC6462"/>
    <w:rsid w:val="387949F6"/>
    <w:rsid w:val="401349E7"/>
    <w:rsid w:val="42D050EF"/>
    <w:rsid w:val="45F36D93"/>
    <w:rsid w:val="4B3137FC"/>
    <w:rsid w:val="4CAE5FD5"/>
    <w:rsid w:val="4ECF3DA7"/>
    <w:rsid w:val="50484239"/>
    <w:rsid w:val="56A003E5"/>
    <w:rsid w:val="57C41FA4"/>
    <w:rsid w:val="58D367A5"/>
    <w:rsid w:val="59F21BF5"/>
    <w:rsid w:val="5BE9421D"/>
    <w:rsid w:val="5E0855A8"/>
    <w:rsid w:val="6304252D"/>
    <w:rsid w:val="64197E9B"/>
    <w:rsid w:val="656E6A2B"/>
    <w:rsid w:val="666735D0"/>
    <w:rsid w:val="6C3B6730"/>
    <w:rsid w:val="706F0B5A"/>
    <w:rsid w:val="7356724F"/>
    <w:rsid w:val="75A823C0"/>
    <w:rsid w:val="77624FEA"/>
    <w:rsid w:val="78EB456C"/>
    <w:rsid w:val="7A211890"/>
    <w:rsid w:val="7DA067C3"/>
    <w:rsid w:val="7F43468E"/>
  </w:rsids>
  <m:mathPr>
    <m:lMargin m:val="0"/>
    <m:mathFont m:val="Cambria Math"/>
    <m:rMargin m:val="0"/>
    <m:wrapIndent m:val="1440"/>
    <m:brkBin m:val="before"/>
    <m:brkBinSub m:val="--"/>
    <m:defJc m:val="centerGroup"/>
    <m:intLim m:val="subSup"/>
    <m:naryLim m:val="undOvr"/>
    <m:smallFrac m:val="1"/>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locked/>
    <w:uiPriority w:val="99"/>
    <w:rPr>
      <w:rFonts w:cs="Times New Roman"/>
      <w:b/>
      <w:bCs/>
    </w:rPr>
  </w:style>
  <w:style w:type="character" w:customStyle="1" w:styleId="7">
    <w:name w:val="页眉 Char"/>
    <w:basedOn w:val="4"/>
    <w:link w:val="3"/>
    <w:qFormat/>
    <w:locked/>
    <w:uiPriority w:val="99"/>
    <w:rPr>
      <w:rFonts w:ascii="Times New Roman" w:hAnsi="Times New Roman" w:eastAsia="宋体" w:cs="Times New Roman"/>
      <w:sz w:val="18"/>
      <w:szCs w:val="18"/>
    </w:rPr>
  </w:style>
  <w:style w:type="character" w:customStyle="1" w:styleId="8">
    <w:name w:val="页脚 Char"/>
    <w:basedOn w:val="4"/>
    <w:link w:val="2"/>
    <w:semiHidden/>
    <w:qFormat/>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449</Words>
  <Characters>2562</Characters>
  <Lines>21</Lines>
  <Paragraphs>6</Paragraphs>
  <ScaleCrop>false</ScaleCrop>
  <LinksUpToDate>false</LinksUpToDate>
  <CharactersWithSpaces>3005</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2019-10-08T10:22:00Z</dcterms:created>
  <dc:creator>曹文芳</dc:creator>
  <cp:lastModifiedBy>曹旭红</cp:lastModifiedBy>
  <cp:lastPrinted>2019-12-24T08:31:00Z</cp:lastPrinted>
  <dcterms:modified xsi:type="dcterms:W3CDTF">2020-06-23T09:33:10Z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