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7"/>
          <w:rFonts w:hint="eastAsia" w:ascii="黑体" w:hAnsi="黑体" w:eastAsia="黑体" w:cs="宋体"/>
          <w:b w:val="0"/>
          <w:kern w:val="0"/>
          <w:sz w:val="28"/>
          <w:szCs w:val="28"/>
        </w:rPr>
      </w:pPr>
      <w:bookmarkStart w:id="0" w:name="_GoBack"/>
      <w:bookmarkEnd w:id="0"/>
      <w:r>
        <w:rPr>
          <w:rStyle w:val="7"/>
          <w:rFonts w:hint="eastAsia" w:ascii="黑体" w:hAnsi="黑体" w:eastAsia="黑体" w:cs="宋体"/>
          <w:b w:val="0"/>
          <w:kern w:val="0"/>
          <w:sz w:val="28"/>
          <w:szCs w:val="28"/>
        </w:rPr>
        <w:t>新疆银行“金胡杨”净值型人民币理财产品协议书</w:t>
      </w:r>
    </w:p>
    <w:p>
      <w:pPr>
        <w:widowControl/>
        <w:adjustRightInd w:val="0"/>
        <w:snapToGrid w:val="0"/>
        <w:spacing w:beforeLines="50" w:line="360" w:lineRule="auto"/>
        <w:jc w:val="center"/>
        <w:rPr>
          <w:rStyle w:val="7"/>
          <w:rFonts w:hint="eastAsia" w:ascii="黑体" w:hAnsi="黑体" w:eastAsia="黑体" w:cs="宋体"/>
          <w:b w:val="0"/>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Style w:val="7"/>
          <w:rFonts w:ascii="宋体" w:hAnsi="宋体" w:cs="宋体"/>
          <w:kern w:val="0"/>
          <w:sz w:val="18"/>
          <w:szCs w:val="18"/>
        </w:rPr>
      </w:pPr>
      <w:r>
        <w:rPr>
          <w:rStyle w:val="7"/>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7"/>
          <w:rFonts w:cs="宋体" w:asciiTheme="minorEastAsia" w:hAnsiTheme="minorEastAsia" w:eastAsiaTheme="minorEastAsia"/>
          <w:b w:val="0"/>
          <w:kern w:val="0"/>
          <w:szCs w:val="21"/>
        </w:rPr>
      </w:pPr>
      <w:r>
        <w:rPr>
          <w:rStyle w:val="7"/>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8"/>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7"/>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7"/>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7"/>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大黑简体">
    <w:panose1 w:val="02010601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207F7B06"/>
    <w:rsid w:val="24A776A1"/>
    <w:rsid w:val="2548190E"/>
    <w:rsid w:val="30A90FF0"/>
    <w:rsid w:val="3CDF2599"/>
    <w:rsid w:val="419C0CC2"/>
    <w:rsid w:val="49166DE6"/>
    <w:rsid w:val="57605062"/>
    <w:rsid w:val="5DA051FC"/>
    <w:rsid w:val="638B23A0"/>
    <w:rsid w:val="6C494FFC"/>
    <w:rsid w:val="6FA678A5"/>
    <w:rsid w:val="72BB6B63"/>
    <w:rsid w:val="7C355186"/>
  </w:rsids>
  <m:mathPr>
    <m:lMargin m:val="0"/>
    <m:mathFont m:val="Cambria Math"/>
    <m:rMargin m:val="0"/>
    <m:wrapIndent m:val="1440"/>
    <m:brkBin m:val="before"/>
    <m:brkBinSub m:val="--"/>
    <m:defJc m:val="centerGroup"/>
    <m:intLim m:val="subSup"/>
    <m:naryLim m:val="undOvr"/>
    <m:smallFrac m:val="off"/>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character" w:styleId="7">
    <w:name w:val="Strong"/>
    <w:basedOn w:val="6"/>
    <w:qFormat/>
    <w:uiPriority w:val="99"/>
    <w:rPr>
      <w:rFonts w:cs="Times New Roman"/>
      <w:b/>
      <w:bCs/>
    </w:rPr>
  </w:style>
  <w:style w:type="table" w:styleId="9">
    <w:name w:val="Table Grid"/>
    <w:basedOn w:val="8"/>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10">
    <w:name w:val="页眉 Char"/>
    <w:basedOn w:val="6"/>
    <w:link w:val="4"/>
    <w:qFormat/>
    <w:locked/>
    <w:uiPriority w:val="99"/>
    <w:rPr>
      <w:rFonts w:ascii="Times New Roman" w:hAnsi="Times New Roman" w:cs="Times New Roman"/>
      <w:sz w:val="18"/>
      <w:szCs w:val="18"/>
    </w:rPr>
  </w:style>
  <w:style w:type="character" w:customStyle="1" w:styleId="11">
    <w:name w:val="页脚 Char"/>
    <w:basedOn w:val="6"/>
    <w:link w:val="3"/>
    <w:semiHidden/>
    <w:qFormat/>
    <w:locked/>
    <w:uiPriority w:val="99"/>
    <w:rPr>
      <w:rFonts w:ascii="Times New Roman" w:hAnsi="Times New Roman" w:cs="Times New Roman"/>
      <w:sz w:val="18"/>
      <w:szCs w:val="18"/>
    </w:rPr>
  </w:style>
  <w:style w:type="character" w:customStyle="1" w:styleId="12">
    <w:name w:val="批注框文本 Char"/>
    <w:basedOn w:val="6"/>
    <w:link w:val="2"/>
    <w:semiHidden/>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ScaleCrop>false</ScaleCrop>
  <LinksUpToDate>false</LinksUpToDate>
  <CharactersWithSpaces>4301</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2020-06-10T09:58:16Z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