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643" w:firstLineChars="200"/>
        <w:jc w:val="center"/>
        <w:rPr>
          <w:rFonts w:ascii="方正大黑简体" w:eastAsia="方正大黑简体"/>
          <w:sz w:val="32"/>
          <w:szCs w:val="32"/>
        </w:rPr>
      </w:pPr>
      <w:bookmarkStart w:id="0" w:name="_GoBack"/>
      <w:bookmarkEnd w:id="0"/>
      <w:r>
        <w:rPr>
          <w:rStyle w:val="6"/>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pPr>
      <w:r>
        <w:rPr>
          <w:rStyle w:val="6"/>
          <w:rFonts w:hint="eastAsia" w:ascii="宋体" w:hAnsi="宋体" w:cs="宋体"/>
          <w:kern w:val="0"/>
          <w:sz w:val="18"/>
          <w:szCs w:val="18"/>
        </w:rPr>
        <w:t>理财非存款、产品有风险、投资须谨慎</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新疆银行只保障理财资金本金，不保证理财收益。在您选择购买本理财产品前，请仔细阅读以下内容：</w:t>
      </w:r>
    </w:p>
    <w:p>
      <w:pPr>
        <w:widowControl/>
        <w:adjustRightInd w:val="0"/>
        <w:ind w:firstLine="420"/>
        <w:jc w:val="left"/>
      </w:pPr>
      <w:r>
        <w:rPr>
          <w:rStyle w:val="6"/>
          <w:rFonts w:hint="eastAsia" w:ascii="宋体" w:hAnsi="宋体" w:cs="宋体"/>
          <w:kern w:val="0"/>
          <w:sz w:val="18"/>
          <w:szCs w:val="18"/>
        </w:rPr>
        <w:t>一</w:t>
      </w:r>
      <w:r>
        <w:rPr>
          <w:rFonts w:hint="eastAsia" w:ascii="宋体" w:hAnsi="宋体" w:cs="宋体"/>
          <w:kern w:val="0"/>
          <w:sz w:val="18"/>
          <w:szCs w:val="18"/>
        </w:rPr>
        <w:t>、《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低</w:t>
      </w:r>
      <w:r>
        <w:rPr>
          <w:rFonts w:hint="eastAsia" w:ascii="宋体" w:hAnsi="宋体" w:cs="仿宋_GB2312"/>
          <w:kern w:val="0"/>
          <w:sz w:val="18"/>
          <w:szCs w:val="18"/>
        </w:rPr>
        <w:t>风险级别，适合客户风险承受能力评级为</w:t>
      </w:r>
      <w:r>
        <w:rPr>
          <w:rFonts w:hint="eastAsia" w:ascii="宋体" w:hAnsi="宋体" w:cs="仿宋_GB2312"/>
          <w:kern w:val="0"/>
          <w:sz w:val="18"/>
          <w:szCs w:val="18"/>
          <w:lang w:eastAsia="zh-CN"/>
        </w:rPr>
        <w:t>保守型</w:t>
      </w:r>
      <w:r>
        <w:rPr>
          <w:rFonts w:hint="eastAsia" w:ascii="宋体" w:hAnsi="宋体" w:cs="仿宋_GB2312"/>
          <w:kern w:val="0"/>
          <w:sz w:val="18"/>
          <w:szCs w:val="18"/>
        </w:rPr>
        <w:t>、稳健型、平衡型、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保本浮动收益理财产品，有投资风险，只保障理财资金本金，不保证理财收益。您应充分认识投资风险，谨慎投资。客户投资本产品可能面临的风险主要包括（但不限于）：</w:t>
      </w:r>
    </w:p>
    <w:p>
      <w:pPr>
        <w:pStyle w:val="4"/>
        <w:widowControl/>
        <w:spacing w:beforeAutospacing="0" w:afterAutospacing="0"/>
      </w:pPr>
      <w:r>
        <w:rPr>
          <w:rStyle w:val="6"/>
          <w:rFonts w:ascii="宋体" w:hAnsi="宋体" w:cs="宋体"/>
          <w:sz w:val="18"/>
          <w:szCs w:val="18"/>
        </w:rPr>
        <w:t>1</w:t>
      </w:r>
      <w:r>
        <w:rPr>
          <w:rStyle w:val="6"/>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收益遭受损失；如果物价指数上升，理财产品的收益率低于通货膨胀率，造成客户投资理财产品获得的实际收益率为负的风险。</w:t>
      </w:r>
    </w:p>
    <w:p>
      <w:pPr>
        <w:pStyle w:val="4"/>
        <w:widowControl/>
        <w:spacing w:beforeAutospacing="0" w:afterAutospacing="0"/>
      </w:pPr>
      <w:r>
        <w:rPr>
          <w:rStyle w:val="6"/>
          <w:rFonts w:ascii="宋体" w:hAnsi="宋体" w:cs="宋体"/>
          <w:sz w:val="18"/>
          <w:szCs w:val="18"/>
        </w:rPr>
        <w:t>2</w:t>
      </w:r>
      <w:r>
        <w:rPr>
          <w:rStyle w:val="6"/>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6"/>
          <w:rFonts w:ascii="宋体" w:hAnsi="宋体" w:cs="仿宋_GB2312"/>
          <w:sz w:val="18"/>
          <w:szCs w:val="18"/>
        </w:rPr>
        <w:t>3</w:t>
      </w:r>
      <w:r>
        <w:rPr>
          <w:rStyle w:val="6"/>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6"/>
          <w:rFonts w:ascii="宋体" w:hAnsi="宋体" w:cs="宋体"/>
          <w:sz w:val="18"/>
          <w:szCs w:val="18"/>
        </w:rPr>
        <w:t>4</w:t>
      </w:r>
      <w:r>
        <w:rPr>
          <w:rStyle w:val="6"/>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6"/>
          <w:rFonts w:ascii="宋体" w:hAnsi="宋体" w:cs="宋体"/>
          <w:sz w:val="18"/>
          <w:szCs w:val="18"/>
        </w:rPr>
        <w:t>5</w:t>
      </w:r>
      <w:r>
        <w:rPr>
          <w:rStyle w:val="6"/>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相关营业网点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6"/>
          <w:rFonts w:ascii="宋体" w:hAnsi="宋体" w:cs="宋体"/>
          <w:kern w:val="0"/>
          <w:sz w:val="18"/>
          <w:szCs w:val="18"/>
        </w:rPr>
        <w:t>6</w:t>
      </w:r>
      <w:r>
        <w:rPr>
          <w:rStyle w:val="6"/>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6"/>
          <w:rFonts w:ascii="宋体" w:hAnsi="宋体" w:cs="宋体"/>
          <w:sz w:val="18"/>
          <w:szCs w:val="18"/>
        </w:rPr>
        <w:t>7</w:t>
      </w:r>
      <w:r>
        <w:rPr>
          <w:rStyle w:val="6"/>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widowControl/>
        <w:jc w:val="left"/>
      </w:pPr>
      <w:r>
        <w:rPr>
          <w:rStyle w:val="6"/>
          <w:rFonts w:ascii="宋体" w:hAnsi="宋体" w:cs="宋体"/>
          <w:kern w:val="0"/>
          <w:sz w:val="18"/>
          <w:szCs w:val="18"/>
        </w:rPr>
        <w:t>8</w:t>
      </w:r>
      <w:r>
        <w:rPr>
          <w:rStyle w:val="6"/>
          <w:rFonts w:hint="eastAsia" w:ascii="宋体" w:hAnsi="宋体" w:cs="宋体"/>
          <w:kern w:val="0"/>
          <w:sz w:val="18"/>
          <w:szCs w:val="18"/>
        </w:rPr>
        <w:t>、理财产品不成立风险：</w:t>
      </w:r>
      <w:r>
        <w:rPr>
          <w:rFonts w:hint="eastAsia" w:ascii="宋体" w:hAnsi="宋体" w:cs="宋体"/>
          <w:bCs/>
          <w:kern w:val="0"/>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6"/>
          <w:rFonts w:hint="eastAsia" w:ascii="宋体" w:hAnsi="宋体" w:cs="仿宋_GB2312"/>
          <w:kern w:val="0"/>
          <w:sz w:val="18"/>
          <w:szCs w:val="18"/>
        </w:rPr>
        <w:t>四、最不利投资情形下的投资结果示例：</w:t>
      </w:r>
      <w:r>
        <w:rPr>
          <w:rFonts w:hint="eastAsia" w:ascii="宋体" w:hAnsi="宋体" w:cs="仿宋_GB2312"/>
          <w:kern w:val="0"/>
          <w:sz w:val="18"/>
          <w:szCs w:val="18"/>
        </w:rPr>
        <w:t>若理财产品运作期间，该理财产品投资标的出现各类风险，则客户可能无法获得约定的参考收益率。在最不利的极端情况下，客户理财收益为</w:t>
      </w:r>
      <w:r>
        <w:rPr>
          <w:rFonts w:ascii="宋体" w:cs="仿宋_GB2312"/>
          <w:kern w:val="0"/>
          <w:sz w:val="18"/>
          <w:szCs w:val="18"/>
        </w:rPr>
        <w:t>0</w:t>
      </w:r>
      <w:r>
        <w:rPr>
          <w:rFonts w:hint="eastAsia" w:ascii="宋体" w:hAnsi="宋体" w:cs="仿宋_GB2312"/>
          <w:kern w:val="0"/>
          <w:sz w:val="18"/>
          <w:szCs w:val="18"/>
        </w:rPr>
        <w:t>，具体金额为</w:t>
      </w:r>
      <w:r>
        <w:rPr>
          <w:rFonts w:ascii="宋体" w:hAnsi="宋体" w:cs="仿宋_GB2312"/>
          <w:kern w:val="0"/>
          <w:sz w:val="18"/>
          <w:szCs w:val="18"/>
        </w:rPr>
        <w:t>100,000</w:t>
      </w:r>
      <w:r>
        <w:rPr>
          <w:rFonts w:hint="eastAsia" w:ascii="宋体" w:hAnsi="宋体" w:cs="仿宋_GB2312"/>
          <w:kern w:val="0"/>
          <w:sz w:val="18"/>
          <w:szCs w:val="18"/>
        </w:rPr>
        <w:t>×</w:t>
      </w:r>
      <w:r>
        <w:rPr>
          <w:rFonts w:ascii="宋体" w:hAnsi="宋体" w:cs="仿宋_GB2312"/>
          <w:kern w:val="0"/>
          <w:sz w:val="18"/>
          <w:szCs w:val="18"/>
        </w:rPr>
        <w:t>0%</w:t>
      </w:r>
      <w:r>
        <w:rPr>
          <w:rFonts w:hint="eastAsia" w:ascii="宋体" w:hAnsi="宋体" w:cs="仿宋_GB2312"/>
          <w:kern w:val="0"/>
          <w:sz w:val="18"/>
          <w:szCs w:val="18"/>
        </w:rPr>
        <w:t>×</w:t>
      </w:r>
      <w:r>
        <w:rPr>
          <w:rFonts w:ascii="宋体" w:hAnsi="宋体" w:cs="仿宋_GB2312"/>
          <w:kern w:val="0"/>
          <w:sz w:val="18"/>
          <w:szCs w:val="18"/>
        </w:rPr>
        <w:t>365/365=0(</w:t>
      </w:r>
      <w:r>
        <w:rPr>
          <w:rFonts w:hint="eastAsia" w:ascii="宋体" w:hAnsi="宋体" w:cs="仿宋_GB2312"/>
          <w:kern w:val="0"/>
          <w:sz w:val="18"/>
          <w:szCs w:val="18"/>
        </w:rPr>
        <w:t>元</w:t>
      </w:r>
      <w:r>
        <w:rPr>
          <w:rFonts w:ascii="宋体" w:hAnsi="宋体" w:cs="仿宋_GB2312"/>
          <w:kern w:val="0"/>
          <w:sz w:val="18"/>
          <w:szCs w:val="18"/>
        </w:rPr>
        <w:t>)</w:t>
      </w:r>
      <w:r>
        <w:rPr>
          <w:rFonts w:hint="eastAsia" w:ascii="宋体" w:hAnsi="宋体" w:cs="仿宋_GB2312"/>
          <w:kern w:val="0"/>
          <w:sz w:val="18"/>
          <w:szCs w:val="18"/>
        </w:rPr>
        <w:t>，假定理财产品的实际投资运作天数为</w:t>
      </w:r>
      <w:r>
        <w:rPr>
          <w:rFonts w:ascii="宋体" w:hAnsi="宋体" w:cs="仿宋_GB2312"/>
          <w:kern w:val="0"/>
          <w:sz w:val="18"/>
          <w:szCs w:val="18"/>
        </w:rPr>
        <w:t>365</w:t>
      </w:r>
      <w:r>
        <w:rPr>
          <w:rFonts w:hint="eastAsia" w:ascii="宋体" w:hAnsi="宋体" w:cs="仿宋_GB2312"/>
          <w:kern w:val="0"/>
          <w:sz w:val="18"/>
          <w:szCs w:val="18"/>
        </w:rPr>
        <w:t>天。</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6"/>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r>
        <w:rPr>
          <w:rFonts w:hint="eastAsia" w:ascii="宋体" w:hAnsi="宋体" w:cs="宋体"/>
          <w:kern w:val="0"/>
          <w:sz w:val="18"/>
          <w:szCs w:val="18"/>
        </w:rPr>
        <w:t>风险揭示方：新疆银行股份有限公司</w:t>
      </w:r>
    </w:p>
    <w:p>
      <w:pPr>
        <w:widowControl/>
        <w:adjustRightInd w:val="0"/>
        <w:spacing w:line="360" w:lineRule="auto"/>
        <w:ind w:firstLine="420"/>
        <w:jc w:val="left"/>
        <w:rPr>
          <w:rFonts w:ascii="宋体" w:cs="宋体"/>
          <w:kern w:val="0"/>
          <w:sz w:val="18"/>
          <w:szCs w:val="18"/>
        </w:rPr>
      </w:pPr>
      <w:r>
        <w:rPr>
          <w:rFonts w:ascii="宋体" w:cs="宋体"/>
          <w:kern w:val="0"/>
          <w:sz w:val="18"/>
          <w:szCs w:val="18"/>
        </w:rPr>
        <w:t> </w:t>
      </w:r>
    </w:p>
    <w:p>
      <w:pPr>
        <w:widowControl/>
        <w:adjustRightInd w:val="0"/>
        <w:spacing w:line="360" w:lineRule="auto"/>
        <w:ind w:firstLine="420"/>
        <w:jc w:val="left"/>
      </w:pPr>
      <w:r>
        <mc:AlternateContent>
          <mc:Choice Requires="wps">
            <w:drawing>
              <wp:anchor distT="0" distB="0" distL="114300" distR="114300" simplePos="0" relativeHeight="1024" behindDoc="0" locked="0" layoutInCell="1" allowOverlap="1">
                <wp:simplePos x="0" y="0"/>
                <wp:positionH relativeFrom="column">
                  <wp:posOffset>36195</wp:posOffset>
                </wp:positionH>
                <wp:positionV relativeFrom="paragraph">
                  <wp:posOffset>251460</wp:posOffset>
                </wp:positionV>
                <wp:extent cx="5257800" cy="4181475"/>
                <wp:effectExtent l="6350" t="6350" r="12700" b="22225"/>
                <wp:wrapNone/>
                <wp:docPr id="1" name="文本框 2"/>
                <wp:cNvGraphicFramePr/>
                <a:graphic xmlns:a="http://schemas.openxmlformats.org/drawingml/2006/main">
                  <a:graphicData uri="http://schemas.microsoft.com/office/word/2010/wordprocessingShape">
                    <wps:wsp>
                      <wps:cNvSpPr txBox="1"/>
                      <wps:spPr>
                        <a:xfrm>
                          <a:off x="0" y="0"/>
                          <a:ext cx="5257800" cy="4181475"/>
                        </a:xfrm>
                        <a:prstGeom prst="rect">
                          <a:avLst/>
                        </a:prstGeom>
                        <a:noFill/>
                        <a:ln w="12700" cap="flat" cmpd="sng">
                          <a:solidFill>
                            <a:srgbClr val="333300"/>
                          </a:solidFill>
                          <a:prstDash val="solid"/>
                          <a:miter/>
                          <a:headEnd type="none" w="med" len="med"/>
                          <a:tailEnd type="none" w="med" len="med"/>
                        </a:ln>
                      </wps:spPr>
                      <wps:txb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6"/>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6"/>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tabs>
                                <w:tab w:val="left" w:pos="360"/>
                              </w:tabs>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wps:txbx>
                      <wps:bodyPr upright="1"/>
                    </wps:wsp>
                  </a:graphicData>
                </a:graphic>
              </wp:anchor>
            </w:drawing>
          </mc:Choice>
          <mc:Fallback>
            <w:pict>
              <v:shape id="文本框 2" o:spid="_x0000_s1026" o:spt="202" type="#_x0000_t202" style="position:absolute;left:0pt;margin-left:2.85pt;margin-top:19.8pt;height:329.25pt;width:414pt;z-index:1024;mso-width-relative:page;mso-height-relative:page;" filled="f" stroked="t" coordsize="21600,21600" o:gfxdata="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9&#10;Nw3Q1wAAAAgBAAAPAAAAAAAAAAEAIAAAACIAAABkcnMvZG93bnJldi54bWxQSwECFAAUAAAACACH&#10;TuJAlVkIPuwBAADBAwAADgAAAAAAAAABACAAAAAmAQAAZHJzL2Uyb0RvYy54bWxQSwUGAAAAAAYA&#10;BgBZAQAAhAUAAAAA&#10;">
                <v:fill on="f" focussize="0,0"/>
                <v:stroke weight="1pt" color="#333300" joinstyle="miter"/>
                <v:imagedata o:title=""/>
                <o:lock v:ext="edit" aspectratio="f"/>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6"/>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6"/>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tabs>
                          <w:tab w:val="left" w:pos="360"/>
                        </w:tabs>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mc:Fallback>
        </mc:AlternateContent>
      </w: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jc w:val="center"/>
        <w:rPr>
          <w:rStyle w:val="6"/>
          <w:rFonts w:ascii="宋体" w:cs="Arial"/>
          <w:kern w:val="0"/>
          <w:sz w:val="18"/>
          <w:szCs w:val="18"/>
        </w:rPr>
      </w:pPr>
    </w:p>
    <w:p>
      <w:pPr>
        <w:widowControl/>
      </w:pPr>
    </w:p>
    <w:p>
      <w:pPr>
        <w:widowControl/>
        <w:jc w:val="center"/>
      </w:pPr>
      <w:r>
        <w:rPr>
          <w:rFonts w:ascii="宋体" w:cs="Arial"/>
          <w:kern w:val="0"/>
          <w:sz w:val="18"/>
          <w:szCs w:val="18"/>
        </w:rPr>
        <w:t> </w:t>
      </w: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540"/>
        <w:jc w:val="left"/>
      </w:pPr>
      <w:r>
        <w:rPr>
          <w:rFonts w:ascii="宋体" w:cs="Arial"/>
          <w:kern w:val="0"/>
          <w:sz w:val="18"/>
          <w:szCs w:val="18"/>
        </w:rPr>
        <w:t> </w:t>
      </w:r>
    </w:p>
    <w:p>
      <w:pPr>
        <w:widowControl/>
        <w:ind w:left="540"/>
        <w:jc w:val="right"/>
      </w:pPr>
      <w:r>
        <w:rPr>
          <w:rFonts w:ascii="宋体" w:cs="Arial"/>
          <w:kern w:val="0"/>
          <w:sz w:val="18"/>
          <w:szCs w:val="18"/>
        </w:rPr>
        <w:t> </w:t>
      </w:r>
    </w:p>
    <w:p>
      <w:pPr>
        <w:widowControl/>
        <w:ind w:left="540" w:right="240"/>
        <w:jc w:val="right"/>
      </w:pPr>
      <w:r>
        <w:rPr>
          <w:rFonts w:ascii="宋体" w:cs="Arial"/>
          <w:kern w:val="0"/>
          <w:sz w:val="18"/>
          <w:szCs w:val="18"/>
        </w:rPr>
        <w:t> </w:t>
      </w:r>
    </w:p>
    <w:p>
      <w:pPr>
        <w:widowControl/>
        <w:spacing w:line="360" w:lineRule="auto"/>
        <w:rPr>
          <w:rStyle w:val="6"/>
          <w:rFonts w:ascii="方正大黑简体" w:hAnsi="宋体" w:eastAsia="方正大黑简体" w:cs="宋体"/>
          <w:kern w:val="0"/>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EAA"/>
    <w:rsid w:val="00156851"/>
    <w:rsid w:val="0021293A"/>
    <w:rsid w:val="00285EAA"/>
    <w:rsid w:val="00313D80"/>
    <w:rsid w:val="00391AB9"/>
    <w:rsid w:val="005540D6"/>
    <w:rsid w:val="005A58D1"/>
    <w:rsid w:val="007E4250"/>
    <w:rsid w:val="00930832"/>
    <w:rsid w:val="00956320"/>
    <w:rsid w:val="00A33A8F"/>
    <w:rsid w:val="00A6656C"/>
    <w:rsid w:val="00AA6A89"/>
    <w:rsid w:val="00C04681"/>
    <w:rsid w:val="00D83384"/>
    <w:rsid w:val="00DA7018"/>
    <w:rsid w:val="00EC6B40"/>
    <w:rsid w:val="00F65E01"/>
    <w:rsid w:val="00FE503D"/>
    <w:rsid w:val="034268BB"/>
    <w:rsid w:val="09E41159"/>
    <w:rsid w:val="0CDF6284"/>
    <w:rsid w:val="25AC7CA6"/>
    <w:rsid w:val="453F0F03"/>
    <w:rsid w:val="5A112D2C"/>
    <w:rsid w:val="5B48693E"/>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uiPriority w:val="99"/>
    <w:rPr>
      <w:rFonts w:ascii="Times New Roman" w:hAnsi="Times New Roman"/>
      <w:sz w:val="18"/>
      <w:szCs w:val="18"/>
    </w:rPr>
  </w:style>
  <w:style w:type="character" w:customStyle="1" w:styleId="9">
    <w:name w:val="页脚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281</Words>
  <Characters>1604</Characters>
  <Lines>13</Lines>
  <Paragraphs>3</Paragraphs>
  <ScaleCrop>false</ScaleCrop>
  <LinksUpToDate>false</LinksUpToDate>
  <CharactersWithSpaces>1882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2017-11-17T10:35:00Z</dcterms:created>
  <dc:creator>曹文芳</dc:creator>
  <cp:lastModifiedBy>曹旭红</cp:lastModifiedBy>
  <dcterms:modified xsi:type="dcterms:W3CDTF">2020-04-14T12:13:48Z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