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大黑简体" w:eastAsia="方正大黑简体"/>
          <w:sz w:val="32"/>
          <w:szCs w:val="32"/>
        </w:rPr>
      </w:pPr>
      <w:bookmarkStart w:id="0" w:name="_GoBack"/>
      <w:bookmarkEnd w:id="0"/>
      <w:r>
        <w:rPr>
          <w:rStyle w:val="6"/>
          <w:rFonts w:hint="eastAsia" w:ascii="方正大黑简体" w:hAnsi="宋体" w:eastAsia="方正大黑简体" w:cs="宋体"/>
          <w:kern w:val="0"/>
          <w:sz w:val="32"/>
          <w:szCs w:val="32"/>
        </w:rPr>
        <w:t>新疆银行人民币个人理财产品说明书</w:t>
      </w:r>
    </w:p>
    <w:p>
      <w:pPr>
        <w:widowControl/>
        <w:snapToGrid w:val="0"/>
        <w:jc w:val="center"/>
      </w:pPr>
      <w:r>
        <w:rPr>
          <w:rStyle w:val="6"/>
          <w:rFonts w:hint="eastAsia" w:ascii="宋体" w:hAnsi="宋体" w:cs="宋体"/>
          <w:color w:val="000000"/>
          <w:kern w:val="0"/>
          <w:sz w:val="18"/>
          <w:szCs w:val="18"/>
        </w:rPr>
        <w:t>特别风险提示</w:t>
      </w:r>
    </w:p>
    <w:p>
      <w:pPr>
        <w:pStyle w:val="4"/>
        <w:widowControl/>
        <w:snapToGrid w:val="0"/>
        <w:spacing w:beforeAutospacing="0" w:afterAutospacing="0"/>
        <w:jc w:val="both"/>
      </w:pPr>
      <w:r>
        <w:rPr>
          <w:rStyle w:val="6"/>
          <w:rFonts w:hint="eastAsia" w:ascii="宋体" w:hAnsi="宋体" w:cs="宋体"/>
          <w:color w:val="000000"/>
          <w:sz w:val="18"/>
          <w:szCs w:val="18"/>
        </w:rPr>
        <w:t>★</w:t>
      </w:r>
      <w:r>
        <w:rPr>
          <w:rStyle w:val="6"/>
          <w:rFonts w:ascii="宋体" w:hAnsi="宋体" w:cs="宋体"/>
          <w:color w:val="000000"/>
          <w:sz w:val="18"/>
          <w:szCs w:val="18"/>
        </w:rPr>
        <w:t xml:space="preserve"> </w:t>
      </w:r>
      <w:r>
        <w:rPr>
          <w:rStyle w:val="6"/>
          <w:rFonts w:hint="eastAsia" w:ascii="宋体" w:hAnsi="宋体" w:cs="宋体"/>
          <w:color w:val="000000"/>
          <w:sz w:val="18"/>
          <w:szCs w:val="18"/>
        </w:rPr>
        <w:t>银行销售的理财产品与存款存在明显区别，理财非存款、产品有风险、投资须谨慎。</w:t>
      </w:r>
    </w:p>
    <w:p>
      <w:pPr>
        <w:pStyle w:val="4"/>
        <w:widowControl/>
        <w:snapToGrid w:val="0"/>
        <w:spacing w:beforeAutospacing="0" w:afterAutospacing="0"/>
        <w:ind w:left="271" w:hanging="271" w:hangingChars="150"/>
        <w:jc w:val="both"/>
      </w:pPr>
      <w:r>
        <w:rPr>
          <w:rStyle w:val="6"/>
          <w:rFonts w:hint="eastAsia" w:ascii="宋体" w:hAnsi="宋体" w:cs="宋体"/>
          <w:color w:val="000000"/>
          <w:sz w:val="18"/>
          <w:szCs w:val="18"/>
        </w:rPr>
        <w:t>★</w:t>
      </w:r>
      <w:r>
        <w:rPr>
          <w:rStyle w:val="6"/>
          <w:rFonts w:ascii="宋体" w:hAnsi="宋体" w:cs="宋体"/>
          <w:color w:val="000000"/>
          <w:sz w:val="18"/>
          <w:szCs w:val="18"/>
        </w:rPr>
        <w:t xml:space="preserve"> </w:t>
      </w:r>
      <w:r>
        <w:rPr>
          <w:rStyle w:val="6"/>
          <w:rFonts w:hint="eastAsia" w:ascii="宋体" w:hAnsi="宋体" w:cs="宋体"/>
          <w:color w:val="000000"/>
          <w:sz w:val="18"/>
          <w:szCs w:val="18"/>
        </w:rPr>
        <w:t>本产品为保本浮动收益型产品，新疆银行理财产品内部风险评级为基本无风险类，面向有、无投资经验客户销售。</w:t>
      </w:r>
    </w:p>
    <w:p>
      <w:pPr>
        <w:pStyle w:val="4"/>
        <w:widowControl/>
        <w:snapToGrid w:val="0"/>
        <w:spacing w:beforeAutospacing="0" w:afterAutospacing="0"/>
        <w:ind w:left="271" w:hanging="271" w:hangingChars="150"/>
        <w:jc w:val="both"/>
      </w:pPr>
      <w:r>
        <w:rPr>
          <w:rStyle w:val="6"/>
          <w:rFonts w:hint="eastAsia" w:ascii="宋体" w:hAnsi="宋体" w:cs="宋体"/>
          <w:color w:val="000000"/>
          <w:sz w:val="18"/>
          <w:szCs w:val="18"/>
        </w:rPr>
        <w:t>★</w:t>
      </w:r>
      <w:r>
        <w:rPr>
          <w:rStyle w:val="6"/>
          <w:rFonts w:ascii="宋体" w:hAnsi="宋体" w:cs="宋体"/>
          <w:color w:val="000000"/>
          <w:sz w:val="18"/>
          <w:szCs w:val="18"/>
        </w:rPr>
        <w:t xml:space="preserve"> </w:t>
      </w:r>
      <w:r>
        <w:rPr>
          <w:rStyle w:val="6"/>
          <w:rFonts w:hint="eastAsia" w:ascii="宋体" w:hAnsi="宋体" w:cs="宋体"/>
          <w:color w:val="000000"/>
          <w:sz w:val="18"/>
          <w:szCs w:val="18"/>
        </w:rPr>
        <w:t>新疆银行对本理财产品只保障理财资金本金，不保证理财收益。投资者应认真阅读本说明书及风险揭示书风险揭示的内容，基于自身的独立判断进行投资决策。</w:t>
      </w:r>
    </w:p>
    <w:p>
      <w:pPr>
        <w:pStyle w:val="4"/>
        <w:widowControl/>
        <w:snapToGrid w:val="0"/>
        <w:spacing w:beforeAutospacing="0" w:afterAutospacing="0"/>
        <w:ind w:left="271" w:hanging="271" w:hangingChars="150"/>
        <w:jc w:val="both"/>
      </w:pPr>
      <w:r>
        <w:rPr>
          <w:rStyle w:val="6"/>
          <w:rFonts w:hint="eastAsia" w:ascii="宋体" w:hAnsi="宋体" w:cs="宋体"/>
          <w:color w:val="000000"/>
          <w:sz w:val="18"/>
          <w:szCs w:val="18"/>
        </w:rPr>
        <w:t>★</w:t>
      </w:r>
      <w:r>
        <w:rPr>
          <w:rStyle w:val="6"/>
          <w:rFonts w:ascii="宋体" w:hAnsi="宋体" w:cs="宋体"/>
          <w:color w:val="000000"/>
          <w:sz w:val="18"/>
          <w:szCs w:val="18"/>
        </w:rPr>
        <w:t xml:space="preserve"> </w:t>
      </w:r>
      <w:r>
        <w:rPr>
          <w:rStyle w:val="6"/>
          <w:rFonts w:hint="eastAsia" w:ascii="宋体" w:hAnsi="宋体" w:cs="宋体"/>
          <w:color w:val="000000"/>
          <w:sz w:val="18"/>
          <w:szCs w:val="18"/>
        </w:rPr>
        <w:t>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pStyle w:val="4"/>
        <w:widowControl/>
        <w:snapToGrid w:val="0"/>
        <w:spacing w:beforeAutospacing="0" w:afterAutospacing="0"/>
        <w:ind w:left="271" w:hanging="271" w:hangingChars="150"/>
        <w:jc w:val="both"/>
      </w:pPr>
      <w:r>
        <w:rPr>
          <w:rStyle w:val="6"/>
          <w:rFonts w:hint="eastAsia" w:ascii="宋体" w:hAnsi="宋体" w:cs="宋体"/>
          <w:color w:val="000000"/>
          <w:sz w:val="18"/>
          <w:szCs w:val="18"/>
        </w:rPr>
        <w:t>★</w:t>
      </w:r>
      <w:r>
        <w:rPr>
          <w:rStyle w:val="6"/>
          <w:rFonts w:ascii="宋体" w:hAnsi="宋体" w:cs="宋体"/>
          <w:color w:val="000000"/>
          <w:sz w:val="18"/>
          <w:szCs w:val="18"/>
        </w:rPr>
        <w:t xml:space="preserve"> </w:t>
      </w:r>
      <w:r>
        <w:rPr>
          <w:rStyle w:val="6"/>
          <w:rFonts w:hint="eastAsia" w:ascii="宋体" w:hAnsi="宋体" w:cs="宋体"/>
          <w:color w:val="000000"/>
          <w:sz w:val="18"/>
          <w:szCs w:val="18"/>
        </w:rPr>
        <w:t>新疆银行郑重提示：本产品说明书、风险揭示书、客户权益须知为理财产品协议书不可分割的组成部分，在购买理财产品前，投资者应仔细阅读上述文件中的各项条款，确保自己完全明白该项投资的性质和所涉及的风险，详细了解和审慎评估该理财产品的资金投资方向、风险类型及参考收益等基本情况，在慎重考虑后自行决定购买与自身风险承受能力和资产管理需求匹配的理财产品，如影响您风险承受能力的因素发生变化，请及时完成风险承受能力评估。</w:t>
      </w:r>
    </w:p>
    <w:p>
      <w:pPr>
        <w:pStyle w:val="4"/>
        <w:widowControl/>
        <w:snapToGrid w:val="0"/>
        <w:spacing w:beforeAutospacing="0" w:afterAutospacing="0"/>
        <w:ind w:left="271" w:hanging="271" w:hangingChars="150"/>
        <w:jc w:val="both"/>
        <w:rPr>
          <w:rStyle w:val="6"/>
          <w:rFonts w:ascii="宋体" w:cs="宋体"/>
          <w:color w:val="000000"/>
          <w:sz w:val="18"/>
          <w:szCs w:val="18"/>
        </w:rPr>
      </w:pPr>
      <w:r>
        <w:rPr>
          <w:rStyle w:val="6"/>
          <w:rFonts w:hint="eastAsia" w:ascii="宋体" w:hAnsi="宋体" w:cs="宋体"/>
          <w:color w:val="000000"/>
          <w:sz w:val="18"/>
          <w:szCs w:val="18"/>
        </w:rPr>
        <w:t>★</w:t>
      </w:r>
      <w:r>
        <w:rPr>
          <w:rStyle w:val="6"/>
          <w:rFonts w:ascii="宋体" w:hAnsi="宋体" w:cs="宋体"/>
          <w:color w:val="000000"/>
          <w:sz w:val="18"/>
          <w:szCs w:val="18"/>
        </w:rPr>
        <w:t xml:space="preserve"> </w:t>
      </w:r>
      <w:r>
        <w:rPr>
          <w:rStyle w:val="6"/>
          <w:rFonts w:hint="eastAsia" w:ascii="宋体" w:hAnsi="宋体" w:cs="宋体"/>
          <w:color w:val="000000"/>
          <w:sz w:val="18"/>
          <w:szCs w:val="18"/>
        </w:rPr>
        <w:t>投资者对本理财产品说明书的内容有任何疑问，请向新疆银行咨询。在购买本理财产品后，投资者应随时关注该理财产品的信息披露情况，及时获取相关信息。</w:t>
      </w:r>
    </w:p>
    <w:p>
      <w:pPr>
        <w:pStyle w:val="4"/>
        <w:widowControl/>
        <w:snapToGrid w:val="0"/>
        <w:spacing w:beforeAutospacing="0" w:afterAutospacing="0"/>
        <w:ind w:left="271" w:hanging="271" w:hangingChars="150"/>
        <w:jc w:val="both"/>
      </w:pPr>
      <w:r>
        <w:rPr>
          <w:rStyle w:val="6"/>
          <w:rFonts w:hint="eastAsia" w:ascii="宋体" w:hAnsi="宋体" w:cs="宋体"/>
          <w:color w:val="000000"/>
          <w:sz w:val="18"/>
          <w:szCs w:val="18"/>
        </w:rPr>
        <w:t>★</w:t>
      </w:r>
      <w:r>
        <w:rPr>
          <w:rStyle w:val="6"/>
          <w:rFonts w:ascii="宋体" w:hAnsi="宋体" w:cs="宋体"/>
          <w:color w:val="000000"/>
          <w:sz w:val="18"/>
          <w:szCs w:val="18"/>
        </w:rPr>
        <w:t xml:space="preserve"> </w:t>
      </w:r>
      <w:r>
        <w:rPr>
          <w:rStyle w:val="6"/>
          <w:rFonts w:hint="eastAsia" w:ascii="宋体" w:hAnsi="宋体" w:cs="宋体"/>
          <w:color w:val="000000"/>
          <w:sz w:val="18"/>
          <w:szCs w:val="18"/>
        </w:rPr>
        <w:t>在我行任意网点购买理财产品，需在理财专区进行“双录”后购买。</w:t>
      </w:r>
    </w:p>
    <w:p>
      <w:pPr>
        <w:widowControl/>
        <w:jc w:val="left"/>
      </w:pPr>
      <w:r>
        <w:rPr>
          <w:rStyle w:val="6"/>
          <w:rFonts w:hint="eastAsia" w:ascii="宋体" w:hAnsi="宋体" w:cs="宋体"/>
          <w:kern w:val="0"/>
          <w:sz w:val="18"/>
          <w:szCs w:val="18"/>
        </w:rPr>
        <w:t>一、产品概述</w:t>
      </w:r>
    </w:p>
    <w:tbl>
      <w:tblPr>
        <w:tblStyle w:val="8"/>
        <w:tblW w:w="9639"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产品名称</w:t>
            </w:r>
          </w:p>
        </w:tc>
        <w:tc>
          <w:tcPr>
            <w:tcW w:w="8079" w:type="dxa"/>
          </w:tcPr>
          <w:p>
            <w:pPr>
              <w:widowControl/>
              <w:jc w:val="left"/>
            </w:pPr>
            <w:r>
              <w:rPr>
                <w:rFonts w:hint="eastAsia" w:ascii="宋体" w:hAnsi="宋体" w:cs="宋体"/>
                <w:bCs/>
                <w:kern w:val="0"/>
                <w:sz w:val="18"/>
                <w:szCs w:val="18"/>
              </w:rPr>
              <w:t>新疆银行</w:t>
            </w:r>
            <w:r>
              <w:rPr>
                <w:rFonts w:ascii="宋体" w:hAnsi="宋体" w:cs="宋体"/>
                <w:bCs/>
                <w:kern w:val="0"/>
                <w:sz w:val="18"/>
                <w:szCs w:val="18"/>
                <w:u w:val="single"/>
              </w:rPr>
              <w:t xml:space="preserve">          </w:t>
            </w:r>
            <w:r>
              <w:rPr>
                <w:rFonts w:hint="eastAsia" w:ascii="宋体" w:hAnsi="宋体" w:cs="宋体"/>
                <w:bCs/>
                <w:kern w:val="0"/>
                <w:sz w:val="18"/>
                <w:szCs w:val="18"/>
                <w:u w:val="single"/>
              </w:rPr>
              <w:t>金胡杨</w:t>
            </w:r>
            <w:r>
              <w:rPr>
                <w:rFonts w:hint="eastAsia" w:ascii="宋体" w:hAnsi="宋体" w:cs="宋体"/>
                <w:bCs/>
                <w:kern w:val="0"/>
                <w:sz w:val="18"/>
                <w:szCs w:val="18"/>
                <w:u w:val="single"/>
                <w:lang w:val="en-US" w:eastAsia="zh-CN"/>
              </w:rPr>
              <w:t>62</w:t>
            </w:r>
            <w:r>
              <w:rPr>
                <w:rFonts w:hint="eastAsia" w:ascii="宋体" w:hAnsi="宋体" w:cs="宋体"/>
                <w:bCs/>
                <w:kern w:val="0"/>
                <w:sz w:val="18"/>
                <w:szCs w:val="18"/>
                <w:u w:val="single"/>
              </w:rPr>
              <w:t>号</w:t>
            </w:r>
            <w:r>
              <w:rPr>
                <w:rFonts w:ascii="宋体" w:hAnsi="宋体" w:cs="宋体"/>
                <w:bCs/>
                <w:kern w:val="0"/>
                <w:sz w:val="18"/>
                <w:szCs w:val="18"/>
                <w:u w:val="single"/>
              </w:rPr>
              <w:t xml:space="preserve">            </w:t>
            </w:r>
            <w:r>
              <w:rPr>
                <w:rFonts w:hint="eastAsia" w:ascii="宋体" w:hAnsi="宋体" w:cs="宋体"/>
                <w:bCs/>
                <w:kern w:val="0"/>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left"/>
              <w:rPr>
                <w:rFonts w:hint="eastAsia" w:ascii="宋体" w:hAnsi="宋体" w:cs="宋体"/>
                <w:bCs/>
                <w:kern w:val="0"/>
                <w:sz w:val="18"/>
                <w:szCs w:val="18"/>
              </w:rPr>
            </w:pPr>
            <w:r>
              <w:rPr>
                <w:rFonts w:hint="eastAsia" w:ascii="宋体" w:hAnsi="宋体" w:cs="宋体"/>
                <w:bCs/>
                <w:kern w:val="0"/>
                <w:sz w:val="18"/>
                <w:szCs w:val="18"/>
              </w:rPr>
              <w:t>产品登记编码</w:t>
            </w:r>
          </w:p>
        </w:tc>
        <w:tc>
          <w:tcPr>
            <w:tcW w:w="8079" w:type="dxa"/>
          </w:tcPr>
          <w:p>
            <w:pPr>
              <w:widowControl/>
              <w:jc w:val="left"/>
              <w:rPr>
                <w:rFonts w:hint="eastAsia" w:ascii="宋体" w:hAnsi="宋体" w:cs="宋体"/>
                <w:bCs/>
                <w:kern w:val="0"/>
                <w:sz w:val="18"/>
                <w:szCs w:val="18"/>
              </w:rPr>
            </w:pPr>
            <w:r>
              <w:rPr>
                <w:rFonts w:hint="eastAsia" w:ascii="宋体" w:hAnsi="宋体" w:cs="宋体"/>
                <w:bCs/>
                <w:kern w:val="0"/>
                <w:sz w:val="18"/>
                <w:szCs w:val="18"/>
              </w:rPr>
              <w:t>C1364320000017   (您可依据该信息在中国理财网</w:t>
            </w:r>
            <w:r>
              <w:rPr>
                <w:rFonts w:hint="eastAsia" w:ascii="宋体" w:hAnsi="宋体" w:cs="宋体"/>
                <w:bCs/>
                <w:kern w:val="0"/>
                <w:sz w:val="18"/>
                <w:szCs w:val="18"/>
              </w:rPr>
              <w:fldChar w:fldCharType="begin"/>
            </w:r>
            <w:r>
              <w:rPr>
                <w:rFonts w:hint="eastAsia" w:ascii="宋体" w:hAnsi="宋体" w:cs="宋体"/>
                <w:bCs/>
                <w:kern w:val="0"/>
                <w:sz w:val="18"/>
                <w:szCs w:val="18"/>
              </w:rPr>
              <w:instrText xml:space="preserve"> HYPERLINK "http://www.chinawealth.com.cn" </w:instrText>
            </w:r>
            <w:r>
              <w:rPr>
                <w:rFonts w:hint="eastAsia" w:ascii="宋体" w:hAnsi="宋体" w:cs="宋体"/>
                <w:bCs/>
                <w:kern w:val="0"/>
                <w:sz w:val="18"/>
                <w:szCs w:val="18"/>
              </w:rPr>
              <w:fldChar w:fldCharType="separate"/>
            </w:r>
            <w:r>
              <w:rPr>
                <w:rFonts w:hint="eastAsia" w:ascii="宋体" w:hAnsi="宋体" w:cs="宋体"/>
                <w:bCs/>
                <w:kern w:val="0"/>
                <w:sz w:val="18"/>
                <w:szCs w:val="18"/>
              </w:rPr>
              <w:t>www.chinawealth.com.cn</w:t>
            </w:r>
            <w:r>
              <w:rPr>
                <w:rFonts w:hint="eastAsia" w:ascii="宋体" w:hAnsi="宋体" w:cs="宋体"/>
                <w:bCs/>
                <w:kern w:val="0"/>
                <w:sz w:val="18"/>
                <w:szCs w:val="18"/>
              </w:rPr>
              <w:fldChar w:fldCharType="end"/>
            </w:r>
            <w:r>
              <w:rPr>
                <w:rFonts w:hint="eastAsia" w:ascii="宋体" w:hAnsi="宋体" w:cs="宋体"/>
                <w:bCs/>
                <w:kern w:val="0"/>
                <w:sz w:val="18"/>
                <w:szCs w:val="18"/>
              </w:rPr>
              <w:t>上查询本产品)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产品类型</w:t>
            </w:r>
          </w:p>
        </w:tc>
        <w:tc>
          <w:tcPr>
            <w:tcW w:w="8079" w:type="dxa"/>
          </w:tcPr>
          <w:p>
            <w:pPr>
              <w:widowControl/>
              <w:jc w:val="left"/>
            </w:pPr>
            <w:r>
              <w:rPr>
                <w:rStyle w:val="6"/>
                <w:rFonts w:hint="eastAsia" w:ascii="宋体" w:hAnsi="宋体" w:cs="宋体"/>
                <w:kern w:val="0"/>
                <w:sz w:val="18"/>
                <w:szCs w:val="18"/>
              </w:rPr>
              <w:t>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bCs/>
                <w:sz w:val="18"/>
                <w:szCs w:val="18"/>
              </w:rPr>
            </w:pPr>
            <w:r>
              <w:rPr>
                <w:rFonts w:hint="eastAsia" w:ascii="宋体" w:hAnsi="宋体"/>
                <w:bCs/>
                <w:sz w:val="18"/>
                <w:szCs w:val="18"/>
              </w:rPr>
              <w:t>产品流动性</w:t>
            </w:r>
          </w:p>
        </w:tc>
        <w:tc>
          <w:tcPr>
            <w:tcW w:w="8079" w:type="dxa"/>
          </w:tcPr>
          <w:p>
            <w:pPr>
              <w:rPr>
                <w:rFonts w:asci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投资及收益币种</w:t>
            </w:r>
          </w:p>
        </w:tc>
        <w:tc>
          <w:tcPr>
            <w:tcW w:w="8079" w:type="dxa"/>
          </w:tcPr>
          <w:p>
            <w:pPr>
              <w:widowControl/>
              <w:jc w:val="left"/>
            </w:pPr>
            <w:r>
              <w:rPr>
                <w:rFonts w:hint="eastAsia" w:ascii="宋体" w:hAnsi="宋体" w:cs="宋体"/>
                <w:bCs/>
                <w:kern w:val="0"/>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产品期限</w:t>
            </w:r>
          </w:p>
        </w:tc>
        <w:tc>
          <w:tcPr>
            <w:tcW w:w="8079" w:type="dxa"/>
          </w:tcPr>
          <w:p>
            <w:pPr>
              <w:widowControl/>
              <w:jc w:val="left"/>
            </w:pPr>
            <w:r>
              <w:rPr>
                <w:rFonts w:hint="eastAsia" w:ascii="宋体" w:hAnsi="宋体" w:cs="宋体"/>
                <w:kern w:val="0"/>
                <w:sz w:val="18"/>
                <w:szCs w:val="18"/>
              </w:rPr>
              <w:t>【</w:t>
            </w:r>
            <w:r>
              <w:rPr>
                <w:rFonts w:hint="eastAsia" w:ascii="宋体" w:hAnsi="宋体" w:cs="宋体"/>
                <w:kern w:val="0"/>
                <w:sz w:val="18"/>
                <w:szCs w:val="18"/>
                <w:lang w:val="en-US" w:eastAsia="zh-CN"/>
              </w:rPr>
              <w:t>205</w:t>
            </w:r>
            <w:r>
              <w:rPr>
                <w:rFonts w:hint="eastAsia" w:ascii="宋体" w:hAnsi="宋体" w:cs="宋体"/>
                <w:kern w:val="0"/>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807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ascii="宋体" w:hAnsi="宋体" w:cs="宋体"/>
                <w:kern w:val="0"/>
                <w:sz w:val="18"/>
                <w:szCs w:val="18"/>
              </w:rPr>
              <w:t xml:space="preserve"> </w:t>
            </w:r>
            <w:r>
              <w:rPr>
                <w:rFonts w:hint="eastAsia" w:ascii="宋体" w:hAnsi="宋体" w:cs="宋体"/>
                <w:kern w:val="0"/>
                <w:sz w:val="18"/>
                <w:szCs w:val="18"/>
                <w:lang w:val="en-US" w:eastAsia="zh-CN"/>
              </w:rPr>
              <w:t>10000</w:t>
            </w:r>
            <w:r>
              <w:rPr>
                <w:rFonts w:hint="eastAsia" w:ascii="宋体" w:hAnsi="宋体" w:cs="宋体"/>
                <w:kern w:val="0"/>
                <w:sz w:val="18"/>
                <w:szCs w:val="18"/>
              </w:rPr>
              <w:t>】万元，产品成立规模下限【</w:t>
            </w:r>
            <w:r>
              <w:rPr>
                <w:rFonts w:ascii="宋体" w:hAnsi="宋体" w:cs="宋体"/>
                <w:kern w:val="0"/>
                <w:sz w:val="18"/>
                <w:szCs w:val="18"/>
              </w:rPr>
              <w:t xml:space="preserve"> </w:t>
            </w:r>
            <w:r>
              <w:rPr>
                <w:rFonts w:hint="eastAsia" w:ascii="宋体" w:hAnsi="宋体" w:cs="宋体"/>
                <w:kern w:val="0"/>
                <w:sz w:val="18"/>
                <w:szCs w:val="18"/>
                <w:lang w:val="en-US" w:eastAsia="zh-CN"/>
              </w:rPr>
              <w:t>1</w:t>
            </w:r>
            <w:r>
              <w:rPr>
                <w:rFonts w:hint="eastAsia" w:ascii="宋体" w:hAnsi="宋体" w:cs="宋体"/>
                <w:kern w:val="0"/>
                <w:sz w:val="18"/>
                <w:szCs w:val="18"/>
              </w:rPr>
              <w:t>000</w:t>
            </w:r>
            <w:r>
              <w:rPr>
                <w:rFonts w:ascii="宋体" w:hAnsi="宋体" w:cs="宋体"/>
                <w:kern w:val="0"/>
                <w:sz w:val="18"/>
                <w:szCs w:val="18"/>
              </w:rPr>
              <w:t xml:space="preserve"> </w:t>
            </w:r>
            <w:r>
              <w:rPr>
                <w:rFonts w:hint="eastAsia" w:ascii="宋体" w:hAnsi="宋体" w:cs="宋体"/>
                <w:kern w:val="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内部风险评级</w:t>
            </w:r>
          </w:p>
        </w:tc>
        <w:tc>
          <w:tcPr>
            <w:tcW w:w="8079" w:type="dxa"/>
          </w:tcPr>
          <w:p>
            <w:pPr>
              <w:widowControl/>
              <w:jc w:val="left"/>
            </w:pPr>
            <w:r>
              <w:rPr>
                <w:rFonts w:hint="eastAsia" w:ascii="宋体" w:hAnsi="宋体" w:cs="宋体"/>
                <w:bCs/>
                <w:kern w:val="0"/>
                <w:sz w:val="18"/>
                <w:szCs w:val="18"/>
              </w:rPr>
              <w:t>新疆银行理财产品风险评级，本产品属于</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rFonts w:hint="eastAsia"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适合客户类型</w:t>
            </w:r>
          </w:p>
        </w:tc>
        <w:tc>
          <w:tcPr>
            <w:tcW w:w="8079" w:type="dxa"/>
            <w:vAlign w:val="bottom"/>
          </w:tcPr>
          <w:p>
            <w:pPr>
              <w:widowControl/>
              <w:jc w:val="left"/>
            </w:pPr>
            <w:r>
              <w:rPr>
                <w:rFonts w:hint="eastAsia" w:ascii="宋体" w:hAnsi="宋体" w:cs="宋体"/>
                <w:bCs/>
                <w:kern w:val="0"/>
                <w:sz w:val="18"/>
                <w:szCs w:val="18"/>
              </w:rPr>
              <w:t>经新疆银行风险评估，本产品适合</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rFonts w:hint="eastAsia" w:ascii="宋体" w:hAnsi="宋体"/>
                <w:b/>
                <w:bCs/>
                <w:sz w:val="18"/>
                <w:szCs w:val="18"/>
              </w:rPr>
              <w:t>】</w:t>
            </w:r>
            <w:r>
              <w:rPr>
                <w:rFonts w:hint="eastAsia" w:ascii="宋体" w:hAnsi="宋体"/>
                <w:bCs/>
                <w:sz w:val="18"/>
                <w:szCs w:val="18"/>
              </w:rPr>
              <w:t>的个人客户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提前终止权</w:t>
            </w:r>
          </w:p>
        </w:tc>
        <w:tc>
          <w:tcPr>
            <w:tcW w:w="8079" w:type="dxa"/>
          </w:tcPr>
          <w:p>
            <w:pPr>
              <w:widowControl/>
              <w:jc w:val="left"/>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申购</w:t>
            </w:r>
            <w:r>
              <w:rPr>
                <w:rFonts w:ascii="宋体" w:hAnsi="宋体" w:cs="宋体"/>
                <w:bCs/>
                <w:kern w:val="0"/>
                <w:sz w:val="18"/>
                <w:szCs w:val="18"/>
              </w:rPr>
              <w:t>/</w:t>
            </w:r>
            <w:r>
              <w:rPr>
                <w:rFonts w:hint="eastAsia" w:ascii="宋体" w:hAnsi="宋体" w:cs="宋体"/>
                <w:bCs/>
                <w:kern w:val="0"/>
                <w:sz w:val="18"/>
                <w:szCs w:val="18"/>
              </w:rPr>
              <w:t>赎回</w:t>
            </w:r>
          </w:p>
        </w:tc>
        <w:tc>
          <w:tcPr>
            <w:tcW w:w="8079" w:type="dxa"/>
            <w:vAlign w:val="bottom"/>
          </w:tcPr>
          <w:p>
            <w:pPr>
              <w:widowControl/>
              <w:jc w:val="left"/>
            </w:pPr>
            <w:r>
              <w:rPr>
                <w:rFonts w:hint="eastAsia" w:ascii="宋体" w:hAnsi="宋体" w:cs="宋体"/>
                <w:bCs/>
                <w:kern w:val="0"/>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8079" w:type="dxa"/>
          </w:tcPr>
          <w:p>
            <w:pPr>
              <w:widowControl/>
              <w:jc w:val="left"/>
            </w:pPr>
            <w:r>
              <w:rPr>
                <w:rFonts w:hint="eastAsia" w:ascii="宋体" w:hAnsi="宋体" w:cs="仿宋_GB2312"/>
                <w:kern w:val="0"/>
                <w:sz w:val="18"/>
                <w:szCs w:val="18"/>
              </w:rPr>
              <w:t>【</w:t>
            </w:r>
            <w:r>
              <w:rPr>
                <w:rFonts w:ascii="宋体" w:hAnsi="宋体" w:cs="仿宋_GB2312"/>
                <w:kern w:val="0"/>
                <w:sz w:val="18"/>
                <w:szCs w:val="18"/>
              </w:rPr>
              <w:t xml:space="preserve"> </w:t>
            </w:r>
            <w:r>
              <w:rPr>
                <w:rFonts w:hint="eastAsia" w:ascii="宋体" w:hAnsi="宋体" w:cs="仿宋_GB2312"/>
                <w:kern w:val="0"/>
                <w:sz w:val="18"/>
                <w:szCs w:val="18"/>
                <w:lang w:val="en-US" w:eastAsia="zh-CN"/>
              </w:rPr>
              <w:t>2020</w:t>
            </w:r>
            <w:r>
              <w:rPr>
                <w:rFonts w:ascii="宋体" w:hAnsi="宋体" w:cs="仿宋_GB2312"/>
                <w:kern w:val="0"/>
                <w:sz w:val="18"/>
                <w:szCs w:val="18"/>
              </w:rPr>
              <w:t xml:space="preserve"> </w:t>
            </w:r>
            <w:r>
              <w:rPr>
                <w:rFonts w:hint="eastAsia" w:ascii="宋体" w:hAnsi="宋体" w:cs="仿宋_GB2312"/>
                <w:kern w:val="0"/>
                <w:sz w:val="18"/>
                <w:szCs w:val="18"/>
              </w:rPr>
              <w:t>】年【</w:t>
            </w:r>
            <w:r>
              <w:rPr>
                <w:rFonts w:ascii="宋体" w:hAnsi="宋体" w:cs="仿宋_GB2312"/>
                <w:kern w:val="0"/>
                <w:sz w:val="18"/>
                <w:szCs w:val="18"/>
              </w:rPr>
              <w:t xml:space="preserve"> </w:t>
            </w:r>
            <w:r>
              <w:rPr>
                <w:rFonts w:hint="eastAsia" w:ascii="宋体" w:hAnsi="宋体" w:cs="仿宋_GB2312"/>
                <w:kern w:val="0"/>
                <w:sz w:val="18"/>
                <w:szCs w:val="18"/>
                <w:lang w:val="en-US" w:eastAsia="zh-CN"/>
              </w:rPr>
              <w:t>04</w:t>
            </w:r>
            <w:r>
              <w:rPr>
                <w:rFonts w:hint="eastAsia" w:ascii="宋体" w:hAnsi="宋体" w:cs="仿宋_GB2312"/>
                <w:kern w:val="0"/>
                <w:sz w:val="18"/>
                <w:szCs w:val="18"/>
              </w:rPr>
              <w:t>】月【</w:t>
            </w:r>
            <w:r>
              <w:rPr>
                <w:rFonts w:ascii="宋体" w:hAnsi="宋体" w:cs="仿宋_GB2312"/>
                <w:kern w:val="0"/>
                <w:sz w:val="18"/>
                <w:szCs w:val="18"/>
              </w:rPr>
              <w:t xml:space="preserve"> </w:t>
            </w:r>
            <w:r>
              <w:rPr>
                <w:rFonts w:hint="eastAsia" w:ascii="宋体" w:hAnsi="宋体" w:cs="仿宋_GB2312"/>
                <w:kern w:val="0"/>
                <w:sz w:val="18"/>
                <w:szCs w:val="18"/>
                <w:lang w:val="en-US" w:eastAsia="zh-CN"/>
              </w:rPr>
              <w:t>21</w:t>
            </w:r>
            <w:r>
              <w:rPr>
                <w:rFonts w:ascii="宋体" w:hAnsi="宋体" w:cs="仿宋_GB2312"/>
                <w:kern w:val="0"/>
                <w:sz w:val="18"/>
                <w:szCs w:val="18"/>
              </w:rPr>
              <w:t xml:space="preserve"> </w:t>
            </w:r>
            <w:r>
              <w:rPr>
                <w:rFonts w:hint="eastAsia" w:ascii="宋体" w:hAnsi="宋体" w:cs="仿宋_GB2312"/>
                <w:kern w:val="0"/>
                <w:sz w:val="18"/>
                <w:szCs w:val="18"/>
              </w:rPr>
              <w:t>】日至【</w:t>
            </w:r>
            <w:r>
              <w:rPr>
                <w:rFonts w:ascii="宋体" w:hAnsi="宋体" w:cs="仿宋_GB2312"/>
                <w:kern w:val="0"/>
                <w:sz w:val="18"/>
                <w:szCs w:val="18"/>
              </w:rPr>
              <w:t xml:space="preserve"> </w:t>
            </w:r>
            <w:r>
              <w:rPr>
                <w:rFonts w:hint="eastAsia" w:ascii="宋体" w:hAnsi="宋体" w:cs="仿宋_GB2312"/>
                <w:kern w:val="0"/>
                <w:sz w:val="18"/>
                <w:szCs w:val="18"/>
              </w:rPr>
              <w:t>20</w:t>
            </w:r>
            <w:r>
              <w:rPr>
                <w:rFonts w:hint="eastAsia" w:ascii="宋体" w:hAnsi="宋体" w:cs="仿宋_GB2312"/>
                <w:kern w:val="0"/>
                <w:sz w:val="18"/>
                <w:szCs w:val="18"/>
                <w:lang w:val="en-US" w:eastAsia="zh-CN"/>
              </w:rPr>
              <w:t>20</w:t>
            </w:r>
            <w:r>
              <w:rPr>
                <w:rFonts w:ascii="宋体" w:hAnsi="宋体" w:cs="仿宋_GB2312"/>
                <w:kern w:val="0"/>
                <w:sz w:val="18"/>
                <w:szCs w:val="18"/>
              </w:rPr>
              <w:t xml:space="preserve"> </w:t>
            </w:r>
            <w:r>
              <w:rPr>
                <w:rFonts w:hint="eastAsia" w:ascii="宋体" w:hAnsi="宋体" w:cs="仿宋_GB2312"/>
                <w:kern w:val="0"/>
                <w:sz w:val="18"/>
                <w:szCs w:val="18"/>
              </w:rPr>
              <w:t>】年【</w:t>
            </w:r>
            <w:r>
              <w:rPr>
                <w:rFonts w:ascii="宋体" w:hAnsi="宋体" w:cs="仿宋_GB2312"/>
                <w:kern w:val="0"/>
                <w:sz w:val="18"/>
                <w:szCs w:val="18"/>
              </w:rPr>
              <w:t xml:space="preserve"> </w:t>
            </w:r>
            <w:r>
              <w:rPr>
                <w:rFonts w:hint="eastAsia" w:ascii="宋体" w:hAnsi="宋体" w:cs="仿宋_GB2312"/>
                <w:kern w:val="0"/>
                <w:sz w:val="18"/>
                <w:szCs w:val="18"/>
                <w:lang w:val="en-US" w:eastAsia="zh-CN"/>
              </w:rPr>
              <w:t>04</w:t>
            </w:r>
            <w:r>
              <w:rPr>
                <w:rFonts w:ascii="宋体" w:hAnsi="宋体" w:cs="仿宋_GB2312"/>
                <w:kern w:val="0"/>
                <w:sz w:val="18"/>
                <w:szCs w:val="18"/>
              </w:rPr>
              <w:t xml:space="preserve"> </w:t>
            </w:r>
            <w:r>
              <w:rPr>
                <w:rFonts w:hint="eastAsia" w:ascii="宋体" w:hAnsi="宋体" w:cs="仿宋_GB2312"/>
                <w:kern w:val="0"/>
                <w:sz w:val="18"/>
                <w:szCs w:val="18"/>
              </w:rPr>
              <w:t>】月【</w:t>
            </w:r>
            <w:r>
              <w:rPr>
                <w:rFonts w:ascii="宋体" w:hAnsi="宋体" w:cs="仿宋_GB2312"/>
                <w:kern w:val="0"/>
                <w:sz w:val="18"/>
                <w:szCs w:val="18"/>
              </w:rPr>
              <w:t xml:space="preserve"> </w:t>
            </w:r>
            <w:r>
              <w:rPr>
                <w:rFonts w:hint="eastAsia" w:ascii="宋体" w:hAnsi="宋体" w:cs="仿宋_GB2312"/>
                <w:kern w:val="0"/>
                <w:sz w:val="18"/>
                <w:szCs w:val="18"/>
                <w:lang w:val="en-US" w:eastAsia="zh-CN"/>
              </w:rPr>
              <w:t>26</w:t>
            </w:r>
            <w:r>
              <w:rPr>
                <w:rFonts w:hint="eastAsia" w:ascii="宋体" w:hAnsi="宋体" w:cs="仿宋_GB2312"/>
                <w:kern w:val="0"/>
                <w:sz w:val="18"/>
                <w:szCs w:val="18"/>
              </w:rPr>
              <w:t>】日。</w:t>
            </w:r>
            <w:r>
              <w:rPr>
                <w:rFonts w:hint="eastAsia" w:ascii="宋体" w:hAnsi="宋体" w:cs="宋体"/>
                <w:bCs/>
                <w:kern w:val="0"/>
                <w:sz w:val="18"/>
                <w:szCs w:val="18"/>
              </w:rPr>
              <w:t>即客户可以购买本产品的时间段。客户在募集期内认购本理财产品后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成立日</w:t>
            </w:r>
          </w:p>
        </w:tc>
        <w:tc>
          <w:tcPr>
            <w:tcW w:w="8079" w:type="dxa"/>
          </w:tcPr>
          <w:p>
            <w:pPr>
              <w:widowControl/>
              <w:jc w:val="left"/>
            </w:pPr>
            <w:r>
              <w:rPr>
                <w:rFonts w:hint="eastAsia" w:ascii="宋体" w:hAnsi="宋体" w:cs="仿宋_GB2312"/>
                <w:kern w:val="0"/>
                <w:sz w:val="18"/>
                <w:szCs w:val="18"/>
              </w:rPr>
              <w:t>【</w:t>
            </w:r>
            <w:r>
              <w:rPr>
                <w:rFonts w:ascii="宋体" w:hAnsi="宋体" w:cs="仿宋_GB2312"/>
                <w:kern w:val="0"/>
                <w:sz w:val="18"/>
                <w:szCs w:val="18"/>
              </w:rPr>
              <w:t xml:space="preserve"> </w:t>
            </w:r>
            <w:r>
              <w:rPr>
                <w:rFonts w:hint="eastAsia" w:ascii="宋体" w:hAnsi="宋体" w:cs="仿宋_GB2312"/>
                <w:kern w:val="0"/>
                <w:sz w:val="18"/>
                <w:szCs w:val="18"/>
              </w:rPr>
              <w:t>20</w:t>
            </w:r>
            <w:r>
              <w:rPr>
                <w:rFonts w:hint="eastAsia" w:ascii="宋体" w:hAnsi="宋体" w:cs="仿宋_GB2312"/>
                <w:kern w:val="0"/>
                <w:sz w:val="18"/>
                <w:szCs w:val="18"/>
                <w:lang w:val="en-US" w:eastAsia="zh-CN"/>
              </w:rPr>
              <w:t>20</w:t>
            </w:r>
            <w:r>
              <w:rPr>
                <w:rFonts w:ascii="宋体" w:hAnsi="宋体" w:cs="仿宋_GB2312"/>
                <w:kern w:val="0"/>
                <w:sz w:val="18"/>
                <w:szCs w:val="18"/>
              </w:rPr>
              <w:t xml:space="preserve"> </w:t>
            </w:r>
            <w:r>
              <w:rPr>
                <w:rFonts w:hint="eastAsia" w:ascii="宋体" w:hAnsi="宋体" w:cs="仿宋_GB2312"/>
                <w:kern w:val="0"/>
                <w:sz w:val="18"/>
                <w:szCs w:val="18"/>
              </w:rPr>
              <w:t>】</w:t>
            </w:r>
            <w:r>
              <w:rPr>
                <w:rFonts w:hint="eastAsia" w:ascii="宋体" w:hAnsi="宋体" w:cs="宋体"/>
                <w:kern w:val="0"/>
                <w:sz w:val="18"/>
                <w:szCs w:val="18"/>
              </w:rPr>
              <w:t>年【</w:t>
            </w:r>
            <w:r>
              <w:rPr>
                <w:rFonts w:ascii="宋体" w:hAnsi="宋体" w:cs="宋体"/>
                <w:kern w:val="0"/>
                <w:sz w:val="18"/>
                <w:szCs w:val="18"/>
              </w:rPr>
              <w:t xml:space="preserve"> </w:t>
            </w:r>
            <w:r>
              <w:rPr>
                <w:rFonts w:hint="eastAsia" w:ascii="宋体" w:hAnsi="宋体" w:cs="宋体"/>
                <w:kern w:val="0"/>
                <w:sz w:val="18"/>
                <w:szCs w:val="18"/>
                <w:lang w:val="en-US" w:eastAsia="zh-CN"/>
              </w:rPr>
              <w:t>04</w:t>
            </w:r>
            <w:r>
              <w:rPr>
                <w:rFonts w:ascii="宋体" w:hAnsi="宋体" w:cs="宋体"/>
                <w:kern w:val="0"/>
                <w:sz w:val="18"/>
                <w:szCs w:val="18"/>
              </w:rPr>
              <w:t xml:space="preserve"> </w:t>
            </w:r>
            <w:r>
              <w:rPr>
                <w:rFonts w:hint="eastAsia" w:ascii="宋体" w:hAnsi="宋体" w:cs="宋体"/>
                <w:kern w:val="0"/>
                <w:sz w:val="18"/>
                <w:szCs w:val="18"/>
              </w:rPr>
              <w:t>】月【</w:t>
            </w:r>
            <w:r>
              <w:rPr>
                <w:rFonts w:ascii="宋体" w:hAnsi="宋体" w:cs="宋体"/>
                <w:kern w:val="0"/>
                <w:sz w:val="18"/>
                <w:szCs w:val="18"/>
              </w:rPr>
              <w:t xml:space="preserve"> </w:t>
            </w:r>
            <w:r>
              <w:rPr>
                <w:rFonts w:hint="eastAsia" w:ascii="宋体" w:hAnsi="宋体" w:cs="宋体"/>
                <w:kern w:val="0"/>
                <w:sz w:val="18"/>
                <w:szCs w:val="18"/>
                <w:lang w:val="en-US" w:eastAsia="zh-CN"/>
              </w:rPr>
              <w:t>27</w:t>
            </w:r>
            <w:r>
              <w:rPr>
                <w:rFonts w:ascii="宋体" w:hAnsi="宋体" w:cs="宋体"/>
                <w:kern w:val="0"/>
                <w:sz w:val="18"/>
                <w:szCs w:val="18"/>
              </w:rPr>
              <w:t xml:space="preserve"> </w:t>
            </w:r>
            <w:r>
              <w:rPr>
                <w:rFonts w:hint="eastAsia" w:ascii="宋体" w:hAnsi="宋体" w:cs="宋体"/>
                <w:kern w:val="0"/>
                <w:sz w:val="18"/>
                <w:szCs w:val="18"/>
              </w:rPr>
              <w:t>】日</w:t>
            </w:r>
            <w:r>
              <w:rPr>
                <w:rFonts w:hint="eastAsia" w:ascii="宋体" w:hAnsi="宋体" w:cs="宋体"/>
                <w:bCs/>
                <w:kern w:val="0"/>
                <w:sz w:val="18"/>
                <w:szCs w:val="18"/>
              </w:rPr>
              <w:t>，</w:t>
            </w:r>
            <w:r>
              <w:rPr>
                <w:rFonts w:hint="eastAsia" w:ascii="宋体" w:hAnsi="宋体" w:cs="宋体"/>
                <w:kern w:val="0"/>
                <w:sz w:val="18"/>
                <w:szCs w:val="18"/>
              </w:rPr>
              <w:t>理财产品自成立日起计算理财收益。</w:t>
            </w:r>
            <w:r>
              <w:rPr>
                <w:rFonts w:hint="eastAsia" w:ascii="宋体" w:hAnsi="宋体" w:cs="宋体"/>
                <w:bCs/>
                <w:kern w:val="0"/>
                <w:sz w:val="18"/>
                <w:szCs w:val="18"/>
              </w:rPr>
              <w:t>在正常情况下，产品的成立日为募集期结束后的第一个工作日。但在以下两种情形除外：（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到期日</w:t>
            </w:r>
          </w:p>
        </w:tc>
        <w:tc>
          <w:tcPr>
            <w:tcW w:w="8079" w:type="dxa"/>
          </w:tcPr>
          <w:p>
            <w:pPr>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 xml:space="preserve"> </w:t>
            </w:r>
            <w:r>
              <w:rPr>
                <w:rFonts w:hint="eastAsia" w:ascii="宋体" w:hAnsi="宋体" w:cs="宋体"/>
                <w:bCs/>
                <w:sz w:val="18"/>
                <w:szCs w:val="18"/>
              </w:rPr>
              <w:t>20</w:t>
            </w:r>
            <w:r>
              <w:rPr>
                <w:rFonts w:hint="eastAsia" w:ascii="宋体" w:hAnsi="宋体" w:cs="宋体"/>
                <w:bCs/>
                <w:sz w:val="18"/>
                <w:szCs w:val="18"/>
                <w:lang w:val="en-US" w:eastAsia="zh-CN"/>
              </w:rPr>
              <w:t>20</w:t>
            </w:r>
            <w:r>
              <w:rPr>
                <w:rFonts w:ascii="宋体" w:hAnsi="宋体" w:cs="宋体"/>
                <w:bCs/>
                <w:sz w:val="18"/>
                <w:szCs w:val="18"/>
              </w:rPr>
              <w:t xml:space="preserve"> </w:t>
            </w:r>
            <w:r>
              <w:rPr>
                <w:rFonts w:hint="eastAsia" w:ascii="宋体" w:hAnsi="宋体" w:cs="宋体"/>
                <w:bCs/>
                <w:sz w:val="18"/>
                <w:szCs w:val="18"/>
              </w:rPr>
              <w:t>】年【</w:t>
            </w:r>
            <w:r>
              <w:rPr>
                <w:rFonts w:ascii="宋体" w:hAnsi="宋体" w:cs="宋体"/>
                <w:bCs/>
                <w:sz w:val="18"/>
                <w:szCs w:val="18"/>
              </w:rPr>
              <w:t xml:space="preserve"> </w:t>
            </w:r>
            <w:r>
              <w:rPr>
                <w:rFonts w:hint="eastAsia" w:ascii="宋体" w:hAnsi="宋体" w:cs="宋体"/>
                <w:bCs/>
                <w:sz w:val="18"/>
                <w:szCs w:val="18"/>
                <w:lang w:val="en-US" w:eastAsia="zh-CN"/>
              </w:rPr>
              <w:t>11</w:t>
            </w:r>
            <w:r>
              <w:rPr>
                <w:rFonts w:hint="eastAsia" w:ascii="宋体" w:hAnsi="宋体" w:cs="宋体"/>
                <w:bCs/>
                <w:sz w:val="18"/>
                <w:szCs w:val="18"/>
              </w:rPr>
              <w:t>】月【</w:t>
            </w:r>
            <w:r>
              <w:rPr>
                <w:rFonts w:ascii="宋体" w:hAnsi="宋体" w:cs="宋体"/>
                <w:bCs/>
                <w:sz w:val="18"/>
                <w:szCs w:val="18"/>
              </w:rPr>
              <w:t xml:space="preserve"> </w:t>
            </w:r>
            <w:r>
              <w:rPr>
                <w:rFonts w:hint="eastAsia" w:ascii="宋体" w:hAnsi="宋体" w:cs="宋体"/>
                <w:bCs/>
                <w:sz w:val="18"/>
                <w:szCs w:val="18"/>
                <w:lang w:val="en-US" w:eastAsia="zh-CN"/>
              </w:rPr>
              <w:t>18</w:t>
            </w:r>
            <w:r>
              <w:rPr>
                <w:rFonts w:ascii="宋体" w:hAnsi="宋体" w:cs="宋体"/>
                <w:bCs/>
                <w:sz w:val="18"/>
                <w:szCs w:val="18"/>
              </w:rPr>
              <w:t xml:space="preserve"> </w:t>
            </w:r>
            <w:r>
              <w:rPr>
                <w:rFonts w:hint="eastAsia" w:ascii="宋体" w:hAnsi="宋体" w:cs="宋体"/>
                <w:bCs/>
                <w:sz w:val="18"/>
                <w:szCs w:val="18"/>
              </w:rPr>
              <w:t>】日，到期日（或提前终止日）至兑付日之间客户资金不计收益。</w:t>
            </w:r>
            <w:r>
              <w:rPr>
                <w:rFonts w:ascii="宋体" w:hAnsi="宋体" w:cs="宋体"/>
                <w:bCs/>
                <w:sz w:val="18"/>
                <w:szCs w:val="18"/>
              </w:rPr>
              <w:t xml:space="preserve"> </w:t>
            </w:r>
          </w:p>
          <w:p>
            <w:pPr>
              <w:widowControl/>
              <w:jc w:val="left"/>
            </w:pPr>
            <w:r>
              <w:rPr>
                <w:rFonts w:hint="eastAsia" w:ascii="宋体" w:hAnsi="宋体" w:cs="宋体"/>
                <w:bCs/>
                <w:sz w:val="18"/>
                <w:szCs w:val="18"/>
              </w:rPr>
              <w:t>如遇非工作日则顺延至其后第一个工作日，</w:t>
            </w:r>
            <w:r>
              <w:rPr>
                <w:rFonts w:hint="eastAsia" w:ascii="宋体" w:hAnsi="宋体" w:cs="宋体"/>
                <w:bCs/>
                <w:kern w:val="0"/>
                <w:sz w:val="18"/>
                <w:szCs w:val="18"/>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兑付日</w:t>
            </w:r>
          </w:p>
        </w:tc>
        <w:tc>
          <w:tcPr>
            <w:tcW w:w="807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w:t>
            </w:r>
            <w:r>
              <w:rPr>
                <w:rFonts w:ascii="宋体" w:hAnsi="宋体" w:cs="宋体"/>
                <w:bCs/>
                <w:sz w:val="18"/>
                <w:szCs w:val="18"/>
              </w:rPr>
              <w:t xml:space="preserve"> </w:t>
            </w:r>
            <w:r>
              <w:rPr>
                <w:rFonts w:hint="eastAsia" w:ascii="宋体" w:hAnsi="宋体" w:cs="宋体"/>
                <w:bCs/>
                <w:sz w:val="18"/>
                <w:szCs w:val="18"/>
              </w:rPr>
              <w:t>20</w:t>
            </w:r>
            <w:r>
              <w:rPr>
                <w:rFonts w:hint="eastAsia" w:ascii="宋体" w:hAnsi="宋体" w:cs="宋体"/>
                <w:bCs/>
                <w:sz w:val="18"/>
                <w:szCs w:val="18"/>
                <w:lang w:val="en-US" w:eastAsia="zh-CN"/>
              </w:rPr>
              <w:t>20</w:t>
            </w:r>
            <w:r>
              <w:rPr>
                <w:rFonts w:ascii="宋体" w:hAnsi="宋体" w:cs="宋体"/>
                <w:bCs/>
                <w:sz w:val="18"/>
                <w:szCs w:val="18"/>
              </w:rPr>
              <w:t xml:space="preserve"> </w:t>
            </w:r>
            <w:r>
              <w:rPr>
                <w:rFonts w:hint="eastAsia" w:ascii="宋体" w:hAnsi="宋体" w:cs="宋体"/>
                <w:bCs/>
                <w:sz w:val="18"/>
                <w:szCs w:val="18"/>
              </w:rPr>
              <w:t>】年【</w:t>
            </w:r>
            <w:r>
              <w:rPr>
                <w:rFonts w:ascii="宋体" w:hAnsi="宋体" w:cs="宋体"/>
                <w:bCs/>
                <w:sz w:val="18"/>
                <w:szCs w:val="18"/>
              </w:rPr>
              <w:t xml:space="preserve"> </w:t>
            </w:r>
            <w:r>
              <w:rPr>
                <w:rFonts w:hint="eastAsia" w:ascii="宋体" w:hAnsi="宋体" w:cs="宋体"/>
                <w:bCs/>
                <w:sz w:val="18"/>
                <w:szCs w:val="18"/>
                <w:lang w:val="en-US" w:eastAsia="zh-CN"/>
              </w:rPr>
              <w:t xml:space="preserve">11 </w:t>
            </w:r>
            <w:r>
              <w:rPr>
                <w:rFonts w:hint="eastAsia" w:ascii="宋体" w:hAnsi="宋体" w:cs="宋体"/>
                <w:bCs/>
                <w:sz w:val="18"/>
                <w:szCs w:val="18"/>
              </w:rPr>
              <w:t>】月【</w:t>
            </w:r>
            <w:r>
              <w:rPr>
                <w:rFonts w:ascii="宋体" w:hAnsi="宋体" w:cs="宋体"/>
                <w:bCs/>
                <w:sz w:val="18"/>
                <w:szCs w:val="18"/>
              </w:rPr>
              <w:t xml:space="preserve"> </w:t>
            </w:r>
            <w:r>
              <w:rPr>
                <w:rFonts w:hint="eastAsia" w:ascii="宋体" w:hAnsi="宋体" w:cs="宋体"/>
                <w:bCs/>
                <w:sz w:val="18"/>
                <w:szCs w:val="18"/>
                <w:lang w:val="en-US" w:eastAsia="zh-CN"/>
              </w:rPr>
              <w:t>18</w:t>
            </w:r>
            <w:r>
              <w:rPr>
                <w:rFonts w:ascii="宋体" w:hAnsi="宋体" w:cs="宋体"/>
                <w:bCs/>
                <w:sz w:val="18"/>
                <w:szCs w:val="18"/>
              </w:rPr>
              <w:t xml:space="preserve"> </w:t>
            </w:r>
            <w:r>
              <w:rPr>
                <w:rFonts w:hint="eastAsia" w:ascii="宋体" w:hAnsi="宋体" w:cs="宋体"/>
                <w:bCs/>
                <w:sz w:val="18"/>
                <w:szCs w:val="18"/>
              </w:rPr>
              <w:t>】</w:t>
            </w:r>
            <w:r>
              <w:rPr>
                <w:rFonts w:hint="eastAsia" w:ascii="宋体" w:hAnsi="宋体" w:cs="宋体"/>
                <w:sz w:val="18"/>
                <w:szCs w:val="18"/>
              </w:rPr>
              <w:t>日</w:t>
            </w:r>
            <w:r>
              <w:rPr>
                <w:rFonts w:hint="eastAsia" w:ascii="宋体" w:hAnsi="宋体" w:cs="宋体"/>
                <w:bCs/>
                <w:sz w:val="18"/>
                <w:szCs w:val="18"/>
              </w:rPr>
              <w:t>，兑付日是客户理财资金到账日，如遇非工作日则顺延至节后第一个工作日，</w:t>
            </w:r>
            <w:r>
              <w:rPr>
                <w:rFonts w:hint="eastAsia" w:ascii="宋体" w:hAnsi="宋体"/>
                <w:bCs/>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kern w:val="0"/>
                <w:sz w:val="18"/>
                <w:szCs w:val="18"/>
              </w:rPr>
              <w:t>（网址：</w:t>
            </w:r>
            <w:r>
              <w:rPr>
                <w:rFonts w:ascii="宋体" w:hAnsi="宋体" w:cs="宋体"/>
                <w:bCs/>
                <w:kern w:val="0"/>
                <w:sz w:val="18"/>
                <w:szCs w:val="18"/>
              </w:rPr>
              <w:t>www.xjbank.com</w:t>
            </w:r>
            <w:r>
              <w:rPr>
                <w:rFonts w:hint="eastAsia" w:ascii="宋体" w:hAnsi="宋体" w:cs="宋体"/>
                <w:bCs/>
                <w:kern w:val="0"/>
                <w:sz w:val="18"/>
                <w:szCs w:val="18"/>
              </w:rPr>
              <w:t>）</w:t>
            </w:r>
            <w:r>
              <w:rPr>
                <w:rFonts w:hint="eastAsia" w:ascii="宋体" w:hAnsi="宋体"/>
                <w:bCs/>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银行管理费率（年）</w:t>
            </w:r>
          </w:p>
        </w:tc>
        <w:tc>
          <w:tcPr>
            <w:tcW w:w="807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：销售管理费年化费率为【0】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：根据理财本金，按日计算，在产品到期兑付时一次性收取，托管费年化费率为【0.01】</w:t>
            </w:r>
            <w:r>
              <w:rPr>
                <w:rFonts w:ascii="宋体" w:hAnsi="宋体" w:cs="宋体"/>
                <w:bCs/>
                <w:kern w:val="0"/>
                <w:sz w:val="18"/>
                <w:szCs w:val="18"/>
              </w:rPr>
              <w:t>%</w:t>
            </w:r>
            <w:r>
              <w:rPr>
                <w:rFonts w:hint="eastAsia" w:ascii="宋体" w:hAnsi="宋体" w:cs="宋体"/>
                <w:bCs/>
                <w:kern w:val="0"/>
                <w:sz w:val="18"/>
                <w:szCs w:val="18"/>
              </w:rPr>
              <w:t>。</w:t>
            </w:r>
          </w:p>
          <w:p>
            <w:pPr>
              <w:widowControl/>
              <w:jc w:val="left"/>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14:textFill>
                  <w14:solidFill>
                    <w14:schemeClr w14:val="tx1"/>
                  </w14:solidFill>
                </w14:textFill>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理财产品参考年化收益率</w:t>
            </w:r>
          </w:p>
        </w:tc>
        <w:tc>
          <w:tcPr>
            <w:tcW w:w="8079" w:type="dxa"/>
          </w:tcPr>
          <w:p>
            <w:pPr>
              <w:widowControl/>
              <w:ind w:right="-107" w:rightChars="-51"/>
              <w:jc w:val="left"/>
              <w:rPr>
                <w:rFonts w:ascii="宋体" w:hAnsi="宋体" w:cs="宋体"/>
                <w:bCs/>
                <w:kern w:val="0"/>
                <w:sz w:val="18"/>
                <w:szCs w:val="18"/>
              </w:rPr>
            </w:pPr>
            <w:r>
              <w:rPr>
                <w:rFonts w:hint="eastAsia" w:ascii="宋体" w:hAnsi="宋体" w:cs="宋体"/>
                <w:bCs/>
                <w:kern w:val="0"/>
                <w:sz w:val="18"/>
                <w:szCs w:val="18"/>
              </w:rPr>
              <w:t>本产品的参考年化收益率【</w:t>
            </w:r>
            <w:r>
              <w:rPr>
                <w:rFonts w:hint="eastAsia" w:ascii="宋体" w:hAnsi="宋体" w:cs="宋体"/>
                <w:bCs/>
                <w:kern w:val="0"/>
                <w:sz w:val="18"/>
                <w:szCs w:val="18"/>
                <w:lang w:val="en-US" w:eastAsia="zh-CN"/>
              </w:rPr>
              <w:t>3.9</w:t>
            </w:r>
            <w:r>
              <w:rPr>
                <w:rFonts w:hint="eastAsia" w:ascii="宋体" w:hAnsi="宋体" w:cs="宋体"/>
                <w:bCs/>
                <w:kern w:val="0"/>
                <w:sz w:val="18"/>
                <w:szCs w:val="18"/>
              </w:rPr>
              <w:t>】</w:t>
            </w:r>
            <w:r>
              <w:rPr>
                <w:rFonts w:ascii="宋体" w:hAnsi="宋体" w:cs="宋体"/>
                <w:bCs/>
                <w:kern w:val="0"/>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认购起点金额</w:t>
            </w:r>
          </w:p>
        </w:tc>
        <w:tc>
          <w:tcPr>
            <w:tcW w:w="8079" w:type="dxa"/>
          </w:tcPr>
          <w:p>
            <w:pPr>
              <w:widowControl/>
              <w:ind w:right="-107" w:rightChars="-51"/>
              <w:jc w:val="left"/>
            </w:pPr>
            <w:r>
              <w:rPr>
                <w:rFonts w:hint="eastAsia" w:ascii="宋体" w:hAnsi="宋体" w:cs="宋体"/>
                <w:bCs/>
                <w:kern w:val="0"/>
                <w:sz w:val="18"/>
                <w:szCs w:val="18"/>
                <w:lang w:val="en-US" w:eastAsia="zh-CN"/>
              </w:rPr>
              <w:t>1</w:t>
            </w:r>
            <w:r>
              <w:rPr>
                <w:rFonts w:hint="eastAsia" w:ascii="宋体" w:hAnsi="宋体" w:cs="宋体"/>
                <w:bCs/>
                <w:kern w:val="0"/>
                <w:sz w:val="18"/>
                <w:szCs w:val="18"/>
              </w:rPr>
              <w:t>万元，以</w:t>
            </w:r>
            <w:r>
              <w:rPr>
                <w:rFonts w:ascii="宋体" w:hAnsi="宋体" w:cs="宋体"/>
                <w:bCs/>
                <w:kern w:val="0"/>
                <w:sz w:val="18"/>
                <w:szCs w:val="18"/>
              </w:rPr>
              <w:t>1</w:t>
            </w:r>
            <w:r>
              <w:rPr>
                <w:rFonts w:hint="eastAsia" w:ascii="宋体" w:hAnsi="宋体" w:cs="宋体"/>
                <w:bCs/>
                <w:kern w:val="0"/>
                <w:sz w:val="18"/>
                <w:szCs w:val="18"/>
                <w:lang w:val="en-US" w:eastAsia="zh-CN"/>
              </w:rPr>
              <w:t>000</w:t>
            </w:r>
            <w:r>
              <w:rPr>
                <w:rFonts w:hint="eastAsia" w:ascii="宋体" w:hAnsi="宋体" w:cs="宋体"/>
                <w:bCs/>
                <w:kern w:val="0"/>
                <w:sz w:val="18"/>
                <w:szCs w:val="18"/>
              </w:rPr>
              <w:t>元整数倍递增。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807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w:t>
            </w:r>
            <w:r>
              <w:rPr>
                <w:rFonts w:hint="eastAsia" w:ascii="宋体" w:hAnsi="宋体" w:cs="宋体"/>
                <w:bCs/>
                <w:sz w:val="18"/>
                <w:szCs w:val="18"/>
                <w:lang w:val="en-US" w:eastAsia="zh-CN"/>
              </w:rPr>
              <w:t>1</w:t>
            </w:r>
            <w:r>
              <w:rPr>
                <w:rFonts w:hint="eastAsia" w:ascii="宋体" w:hAnsi="宋体" w:cs="宋体"/>
                <w:bCs/>
                <w:sz w:val="18"/>
                <w:szCs w:val="18"/>
              </w:rPr>
              <w:t>000万元。若产品销售结束时，募集的理财资金少于</w:t>
            </w:r>
            <w:r>
              <w:rPr>
                <w:rFonts w:hint="eastAsia" w:ascii="宋体" w:hAnsi="宋体" w:cs="宋体"/>
                <w:bCs/>
                <w:sz w:val="18"/>
                <w:szCs w:val="18"/>
                <w:lang w:val="en-US" w:eastAsia="zh-CN"/>
              </w:rPr>
              <w:t>1</w:t>
            </w:r>
            <w:r>
              <w:rPr>
                <w:rFonts w:hint="eastAsia" w:ascii="宋体" w:hAnsi="宋体" w:cs="宋体"/>
                <w:bCs/>
                <w:sz w:val="18"/>
                <w:szCs w:val="18"/>
              </w:rPr>
              <w:t>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807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延期支付权</w:t>
            </w:r>
          </w:p>
        </w:tc>
        <w:tc>
          <w:tcPr>
            <w:tcW w:w="8079" w:type="dxa"/>
          </w:tcPr>
          <w:p>
            <w:pPr>
              <w:rPr>
                <w:rFonts w:ascii="宋体" w:cs="宋体"/>
                <w:bCs/>
                <w:sz w:val="18"/>
                <w:szCs w:val="18"/>
              </w:rPr>
            </w:pPr>
            <w:r>
              <w:rPr>
                <w:rFonts w:hint="eastAsia" w:ascii="宋体" w:hAnsi="宋体" w:cs="宋体"/>
                <w:bCs/>
                <w:sz w:val="18"/>
                <w:szCs w:val="18"/>
              </w:rPr>
              <w:t>在本理财产品的正常到期日，如理财产品所投资的投资标的出现未能及时变现或其发行人未能及时兑付或投资标的项下相关债务人违约等情形时，本理财产品期限将延长至全部资产变现之日止。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工作日</w:t>
            </w:r>
          </w:p>
        </w:tc>
        <w:tc>
          <w:tcPr>
            <w:tcW w:w="8079" w:type="dxa"/>
          </w:tcPr>
          <w:p>
            <w:pPr>
              <w:widowControl/>
              <w:jc w:val="left"/>
            </w:pPr>
            <w:r>
              <w:rPr>
                <w:rFonts w:hint="eastAsia" w:ascii="宋体" w:hAnsi="宋体" w:cs="宋体"/>
                <w:bCs/>
                <w:kern w:val="0"/>
                <w:sz w:val="18"/>
                <w:szCs w:val="18"/>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收益计算方法</w:t>
            </w:r>
          </w:p>
        </w:tc>
        <w:tc>
          <w:tcPr>
            <w:tcW w:w="807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widowControl/>
              <w:jc w:val="left"/>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对账单</w:t>
            </w:r>
          </w:p>
        </w:tc>
        <w:tc>
          <w:tcPr>
            <w:tcW w:w="8079" w:type="dxa"/>
            <w:vAlign w:val="center"/>
          </w:tcPr>
          <w:p>
            <w:pPr>
              <w:widowControl/>
              <w:jc w:val="left"/>
            </w:pPr>
            <w:r>
              <w:rPr>
                <w:rFonts w:hint="eastAsia" w:ascii="宋体" w:hAnsi="宋体" w:cs="宋体"/>
                <w:bCs/>
                <w:kern w:val="0"/>
                <w:sz w:val="18"/>
                <w:szCs w:val="18"/>
              </w:rPr>
              <w:t>投资人同意通过新疆银行官方网站（网址：</w:t>
            </w:r>
            <w:r>
              <w:rPr>
                <w:rFonts w:ascii="宋体" w:hAnsi="宋体" w:cs="宋体"/>
                <w:bCs/>
                <w:kern w:val="0"/>
                <w:sz w:val="18"/>
                <w:szCs w:val="18"/>
              </w:rPr>
              <w:t>www.xjbank.com</w:t>
            </w:r>
            <w:r>
              <w:rPr>
                <w:rFonts w:hint="eastAsia" w:ascii="宋体" w:hAnsi="宋体" w:cs="宋体"/>
                <w:bCs/>
                <w:kern w:val="0"/>
                <w:sz w:val="18"/>
                <w:szCs w:val="18"/>
              </w:rPr>
              <w:t>）、新疆银行官方微信或相关营业网点及时了解相关信息公告。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税款</w:t>
            </w:r>
          </w:p>
        </w:tc>
        <w:tc>
          <w:tcPr>
            <w:tcW w:w="8079" w:type="dxa"/>
            <w:vAlign w:val="bottom"/>
          </w:tcPr>
          <w:p>
            <w:pPr>
              <w:widowControl/>
              <w:jc w:val="left"/>
            </w:pPr>
            <w:r>
              <w:rPr>
                <w:rFonts w:hint="eastAsia" w:ascii="宋体" w:hAnsi="宋体" w:cs="宋体"/>
                <w:bCs/>
                <w:kern w:val="0"/>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其他规定</w:t>
            </w:r>
          </w:p>
        </w:tc>
        <w:tc>
          <w:tcPr>
            <w:tcW w:w="8079" w:type="dxa"/>
            <w:vAlign w:val="bottom"/>
          </w:tcPr>
          <w:p>
            <w:pPr>
              <w:widowControl/>
              <w:jc w:val="left"/>
            </w:pPr>
            <w:r>
              <w:rPr>
                <w:rFonts w:hint="eastAsia" w:ascii="宋体" w:hAnsi="宋体" w:cs="宋体"/>
                <w:bCs/>
                <w:kern w:val="0"/>
                <w:sz w:val="18"/>
                <w:szCs w:val="18"/>
              </w:rPr>
              <w:t>本理财产品认购后不得撤单。</w:t>
            </w:r>
          </w:p>
          <w:p>
            <w:pPr>
              <w:widowControl/>
              <w:jc w:val="left"/>
            </w:pPr>
            <w:r>
              <w:rPr>
                <w:rFonts w:hint="eastAsia" w:ascii="宋体" w:hAnsi="宋体" w:cs="宋体"/>
                <w:kern w:val="0"/>
                <w:sz w:val="18"/>
                <w:szCs w:val="18"/>
              </w:rPr>
              <w:t>本理财可以通过</w:t>
            </w:r>
            <w:r>
              <w:rPr>
                <w:rFonts w:hint="eastAsia" w:ascii="宋体" w:hAnsi="宋体" w:cs="宋体"/>
                <w:bCs/>
                <w:kern w:val="0"/>
                <w:sz w:val="18"/>
                <w:szCs w:val="18"/>
              </w:rPr>
              <w:t>■</w:t>
            </w:r>
            <w:r>
              <w:rPr>
                <w:rFonts w:hint="eastAsia" w:ascii="宋体" w:hAnsi="宋体" w:cs="宋体"/>
                <w:kern w:val="0"/>
                <w:sz w:val="18"/>
                <w:szCs w:val="18"/>
              </w:rPr>
              <w:t>营业网点、</w:t>
            </w:r>
            <w:r>
              <w:rPr>
                <w:rFonts w:hint="eastAsia" w:ascii="宋体" w:hAnsi="宋体" w:cs="宋体"/>
                <w:bCs/>
                <w:kern w:val="0"/>
                <w:sz w:val="18"/>
                <w:szCs w:val="18"/>
              </w:rPr>
              <w:t>■</w:t>
            </w:r>
            <w:r>
              <w:rPr>
                <w:rFonts w:hint="eastAsia" w:ascii="宋体" w:hAnsi="宋体" w:cs="宋体"/>
                <w:kern w:val="0"/>
                <w:sz w:val="18"/>
                <w:szCs w:val="18"/>
              </w:rPr>
              <w:t>网上银行、</w:t>
            </w:r>
            <w:r>
              <w:rPr>
                <w:rFonts w:hint="eastAsia" w:ascii="宋体" w:hAnsi="宋体" w:cs="宋体"/>
                <w:bCs/>
                <w:kern w:val="0"/>
                <w:sz w:val="18"/>
                <w:szCs w:val="18"/>
              </w:rPr>
              <w:t>■</w:t>
            </w:r>
            <w:r>
              <w:rPr>
                <w:rFonts w:hint="eastAsia" w:ascii="宋体" w:hAnsi="宋体" w:cs="宋体"/>
                <w:kern w:val="0"/>
                <w:sz w:val="18"/>
                <w:szCs w:val="18"/>
              </w:rPr>
              <w:t>手机银行等渠道购买。</w:t>
            </w:r>
          </w:p>
        </w:tc>
      </w:tr>
    </w:tbl>
    <w:p>
      <w:pPr>
        <w:widowControl/>
        <w:spacing w:beforeAutospacing="1"/>
        <w:ind w:firstLine="361" w:firstLineChars="200"/>
        <w:jc w:val="left"/>
      </w:pPr>
      <w:r>
        <w:rPr>
          <w:rStyle w:val="6"/>
          <w:rFonts w:hint="eastAsia" w:ascii="宋体" w:hAnsi="宋体" w:cs="宋体"/>
          <w:kern w:val="0"/>
          <w:sz w:val="18"/>
          <w:szCs w:val="18"/>
        </w:rPr>
        <w:t>二、投资范围</w:t>
      </w:r>
    </w:p>
    <w:p>
      <w:pPr>
        <w:ind w:firstLine="360" w:firstLineChars="200"/>
        <w:rPr>
          <w:rFonts w:ascii="宋体" w:hAnsi="宋体" w:cs="宋体"/>
          <w:bCs/>
          <w:sz w:val="18"/>
          <w:szCs w:val="18"/>
        </w:rPr>
      </w:pPr>
      <w:r>
        <w:rPr>
          <w:rFonts w:hint="eastAsia" w:ascii="宋体" w:hAnsi="宋体" w:cs="宋体"/>
          <w:bCs/>
          <w:sz w:val="18"/>
          <w:szCs w:val="18"/>
        </w:rPr>
        <w:t>1、投资范围</w:t>
      </w:r>
    </w:p>
    <w:p>
      <w:pPr>
        <w:ind w:firstLine="360" w:firstLineChars="200"/>
        <w:rPr>
          <w:rFonts w:ascii="宋体" w:hAnsi="宋体" w:cs="宋体"/>
          <w:bCs/>
          <w:sz w:val="18"/>
          <w:szCs w:val="18"/>
        </w:rPr>
      </w:pPr>
      <w:r>
        <w:rPr>
          <w:rFonts w:hint="eastAsia" w:ascii="宋体" w:hAnsi="宋体" w:cs="宋体"/>
          <w:bCs/>
          <w:sz w:val="18"/>
          <w:szCs w:val="18"/>
        </w:rPr>
        <w:t>（1）固定收益类：银行间市场</w:t>
      </w:r>
      <w:r>
        <w:rPr>
          <w:rFonts w:hint="eastAsia" w:ascii="宋体" w:hAnsi="宋体" w:cs="宋体"/>
          <w:bCs/>
          <w:sz w:val="18"/>
          <w:szCs w:val="18"/>
          <w:lang w:eastAsia="zh-CN"/>
        </w:rPr>
        <w:t>和</w:t>
      </w:r>
      <w:r>
        <w:rPr>
          <w:rFonts w:hint="eastAsia" w:ascii="宋体" w:hAnsi="宋体" w:cs="宋体"/>
          <w:bCs/>
          <w:sz w:val="18"/>
          <w:szCs w:val="18"/>
        </w:rPr>
        <w:t>交易所发行的国债、金融债、央票、中期票据、短期融资券（含超短期融资券）、企业债、公司债、商业银行发行的次级债和混合资本债、非公开定向发行的非金融债务融资工具（PPN）、资产支持证券、资产支持票据和其他固定收益类资产。以上固定收益工具若有公开信用评级，信用评级应为AA以上（含AA）；</w:t>
      </w:r>
    </w:p>
    <w:p>
      <w:pPr>
        <w:ind w:firstLine="360" w:firstLineChars="200"/>
        <w:rPr>
          <w:rFonts w:ascii="宋体" w:hAnsi="宋体" w:cs="宋体"/>
          <w:bCs/>
          <w:sz w:val="18"/>
          <w:szCs w:val="18"/>
        </w:rPr>
      </w:pPr>
      <w:r>
        <w:rPr>
          <w:rFonts w:hint="eastAsia" w:ascii="宋体" w:hAnsi="宋体" w:cs="宋体"/>
          <w:bCs/>
          <w:sz w:val="18"/>
          <w:szCs w:val="18"/>
        </w:rPr>
        <w:t>（2）货币市场类：同业存款、同业借款、债券回购、货币基金和其他货币市场类资产；</w:t>
      </w:r>
    </w:p>
    <w:p>
      <w:pPr>
        <w:ind w:firstLine="360" w:firstLineChars="200"/>
        <w:rPr>
          <w:rFonts w:ascii="宋体" w:hAnsi="宋体" w:cs="宋体"/>
          <w:bCs/>
          <w:sz w:val="18"/>
          <w:szCs w:val="18"/>
        </w:rPr>
      </w:pPr>
      <w:r>
        <w:rPr>
          <w:rFonts w:hint="eastAsia" w:ascii="宋体" w:hAnsi="宋体" w:cs="宋体"/>
          <w:bCs/>
          <w:sz w:val="18"/>
          <w:szCs w:val="18"/>
        </w:rPr>
        <w:t>（3）非标准化债券资产和其他类：符合监管机构要求的信托贷款、委托债权、应收账款、承兑汇票、信用证、各类受益权、各类资产管理计划和其他资产。</w:t>
      </w:r>
    </w:p>
    <w:p>
      <w:pPr>
        <w:widowControl/>
        <w:ind w:firstLine="360" w:firstLineChars="200"/>
        <w:jc w:val="left"/>
        <w:rPr>
          <w:rFonts w:ascii="宋体" w:hAnsi="宋体" w:cs="宋体"/>
          <w:bCs/>
          <w:kern w:val="0"/>
          <w:sz w:val="18"/>
          <w:szCs w:val="18"/>
        </w:rPr>
      </w:pPr>
      <w:r>
        <w:rPr>
          <w:rFonts w:hint="eastAsia" w:ascii="宋体" w:hAnsi="宋体" w:cs="宋体"/>
          <w:bCs/>
          <w:kern w:val="0"/>
          <w:sz w:val="18"/>
          <w:szCs w:val="18"/>
        </w:rPr>
        <w:t>2、投资比例</w:t>
      </w:r>
    </w:p>
    <w:p>
      <w:pPr>
        <w:widowControl/>
        <w:ind w:firstLine="360" w:firstLineChars="200"/>
        <w:jc w:val="left"/>
        <w:rPr>
          <w:rFonts w:ascii="宋体" w:hAnsi="宋体" w:cs="宋体"/>
          <w:bCs/>
          <w:kern w:val="0"/>
          <w:sz w:val="18"/>
          <w:szCs w:val="18"/>
        </w:rPr>
      </w:pPr>
      <w:r>
        <w:rPr>
          <w:rFonts w:hint="eastAsia" w:ascii="宋体" w:hAnsi="宋体" w:cs="宋体"/>
          <w:bCs/>
          <w:kern w:val="0"/>
          <w:sz w:val="18"/>
          <w:szCs w:val="18"/>
        </w:rPr>
        <w:t>固定收益类和货币市场类资产投资比例为10%-100%，非标准化债券资产和其他类资产投资比例不超过90%。</w:t>
      </w:r>
    </w:p>
    <w:p>
      <w:pPr>
        <w:widowControl/>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6"/>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ind w:firstLine="361" w:firstLineChars="200"/>
        <w:rPr>
          <w:rFonts w:ascii="宋体" w:cs="宋体"/>
          <w:b/>
          <w:bCs/>
          <w:sz w:val="18"/>
          <w:szCs w:val="18"/>
        </w:rPr>
      </w:pPr>
      <w:r>
        <w:rPr>
          <w:rFonts w:hint="eastAsia" w:ascii="宋体" w:hAnsi="宋体" w:cs="宋体"/>
          <w:b/>
          <w:bCs/>
          <w:sz w:val="18"/>
          <w:szCs w:val="18"/>
        </w:rPr>
        <w:t>三、理财产品费用及收益</w:t>
      </w:r>
    </w:p>
    <w:p>
      <w:pPr>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ind w:firstLine="361" w:firstLineChars="200"/>
        <w:rPr>
          <w:rStyle w:val="6"/>
          <w:rFonts w:ascii="宋体" w:cs="宋体"/>
          <w:b w:val="0"/>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widowControl/>
        <w:ind w:firstLine="361" w:firstLineChars="200"/>
        <w:jc w:val="left"/>
      </w:pPr>
      <w:r>
        <w:rPr>
          <w:rStyle w:val="6"/>
          <w:rFonts w:hint="eastAsia" w:ascii="宋体" w:hAnsi="宋体" w:cs="宋体"/>
          <w:kern w:val="0"/>
          <w:sz w:val="18"/>
          <w:szCs w:val="18"/>
        </w:rPr>
        <w:t>四、产品提前终止</w:t>
      </w:r>
      <w:r>
        <w:rPr>
          <w:rStyle w:val="6"/>
          <w:rFonts w:ascii="宋体" w:hAnsi="宋体" w:cs="宋体"/>
          <w:kern w:val="0"/>
          <w:sz w:val="18"/>
          <w:szCs w:val="18"/>
        </w:rPr>
        <w:t xml:space="preserve"> </w:t>
      </w:r>
    </w:p>
    <w:p>
      <w:pPr>
        <w:widowControl/>
        <w:ind w:firstLine="360" w:firstLineChars="200"/>
        <w:jc w:val="left"/>
        <w:rPr>
          <w:rFonts w:ascii="宋体" w:hAnsi="宋体" w:cs="宋体"/>
          <w:bCs/>
          <w:kern w:val="0"/>
          <w:sz w:val="18"/>
          <w:szCs w:val="18"/>
        </w:rPr>
      </w:pPr>
      <w:r>
        <w:rPr>
          <w:rFonts w:hint="eastAsia" w:ascii="宋体" w:hAnsi="宋体" w:cs="宋体"/>
          <w:bCs/>
          <w:kern w:val="0"/>
          <w:sz w:val="18"/>
          <w:szCs w:val="18"/>
        </w:rPr>
        <w:t>1、若在募集期届满之前募集资金已经达到产品募集上限，新疆银行有权提前结束募集并提前成立该理财产品，产品提前成立时银行将调整成立日期，并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widowControl/>
        <w:ind w:firstLine="360" w:firstLineChars="200"/>
        <w:jc w:val="left"/>
      </w:pPr>
      <w:r>
        <w:rPr>
          <w:rFonts w:hint="eastAsia" w:ascii="宋体" w:hAnsi="宋体" w:cs="宋体"/>
          <w:bCs/>
          <w:kern w:val="0"/>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、新疆银行官方微信或银行认为适当的其他方式、地点进行公示。提前终止日后将客户理财资金及理财收益（如有）划入客户理财账户，划付信息以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、新疆银行官方微信或银行认为适当的其他方式、地点公布的为准。提前终止日（含当日）至资金实际到账日之间，客户资金不计息。</w:t>
      </w:r>
    </w:p>
    <w:p>
      <w:pPr>
        <w:widowControl/>
        <w:ind w:firstLine="361" w:firstLineChars="200"/>
        <w:jc w:val="left"/>
      </w:pPr>
      <w:r>
        <w:rPr>
          <w:rStyle w:val="6"/>
          <w:rFonts w:hint="eastAsia" w:ascii="宋体" w:hAnsi="宋体" w:cs="宋体"/>
          <w:kern w:val="0"/>
          <w:sz w:val="18"/>
          <w:szCs w:val="18"/>
        </w:rPr>
        <w:t>五、信息披露</w:t>
      </w:r>
    </w:p>
    <w:p>
      <w:pPr>
        <w:widowControl/>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6"/>
          <w:rFonts w:hint="eastAsia" w:ascii="宋体" w:hAnsi="宋体" w:cs="宋体"/>
          <w:kern w:val="0"/>
          <w:sz w:val="18"/>
          <w:szCs w:val="18"/>
        </w:rPr>
        <w:t>该等披露，视为银行已向客户完全履行信息披露义务。客户承诺将及时接收、浏览和阅读该等信息。</w:t>
      </w:r>
    </w:p>
    <w:p>
      <w:pPr>
        <w:widowControl/>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、新疆银行官方微信或银行认为适当的其他方式、地点向客户进行信息披露。</w:t>
      </w:r>
    </w:p>
    <w:p>
      <w:pPr>
        <w:widowControl/>
        <w:ind w:firstLine="361" w:firstLineChars="200"/>
        <w:jc w:val="left"/>
      </w:pPr>
      <w:r>
        <w:rPr>
          <w:rStyle w:val="6"/>
          <w:rFonts w:ascii="宋体" w:hAnsi="宋体" w:cs="宋体"/>
          <w:kern w:val="0"/>
          <w:sz w:val="18"/>
          <w:szCs w:val="18"/>
        </w:rPr>
        <w:t>5</w:t>
      </w:r>
      <w:r>
        <w:rPr>
          <w:rStyle w:val="6"/>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6"/>
          <w:rFonts w:ascii="宋体" w:hAnsi="宋体" w:cs="宋体"/>
          <w:kern w:val="0"/>
          <w:sz w:val="18"/>
          <w:szCs w:val="18"/>
        </w:rPr>
        <w:t>3</w:t>
      </w:r>
      <w:r>
        <w:rPr>
          <w:rStyle w:val="6"/>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6"/>
          <w:rFonts w:hint="eastAsia" w:ascii="宋体" w:hAnsi="宋体" w:cs="宋体"/>
          <w:kern w:val="0"/>
          <w:sz w:val="18"/>
          <w:szCs w:val="18"/>
        </w:rPr>
        <w:t>进行信息披露。</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Calibri">
    <w:panose1 w:val="020F0502020204030204"/>
    <w:charset w:val="86"/>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BC4"/>
    <w:rsid w:val="0000592B"/>
    <w:rsid w:val="000105BE"/>
    <w:rsid w:val="00017289"/>
    <w:rsid w:val="000230D8"/>
    <w:rsid w:val="00056F9F"/>
    <w:rsid w:val="000570CF"/>
    <w:rsid w:val="00062544"/>
    <w:rsid w:val="00064BF7"/>
    <w:rsid w:val="0007332F"/>
    <w:rsid w:val="000A6AFC"/>
    <w:rsid w:val="000F2D08"/>
    <w:rsid w:val="00101D4A"/>
    <w:rsid w:val="0010450F"/>
    <w:rsid w:val="00120AFA"/>
    <w:rsid w:val="00145ADE"/>
    <w:rsid w:val="001933AA"/>
    <w:rsid w:val="001B4250"/>
    <w:rsid w:val="001B5B38"/>
    <w:rsid w:val="001B7007"/>
    <w:rsid w:val="001B772E"/>
    <w:rsid w:val="001D663E"/>
    <w:rsid w:val="00250D25"/>
    <w:rsid w:val="002529DC"/>
    <w:rsid w:val="0028454A"/>
    <w:rsid w:val="00287719"/>
    <w:rsid w:val="00291D17"/>
    <w:rsid w:val="00296186"/>
    <w:rsid w:val="002A101B"/>
    <w:rsid w:val="002A4B32"/>
    <w:rsid w:val="002E054E"/>
    <w:rsid w:val="002F47C4"/>
    <w:rsid w:val="00323065"/>
    <w:rsid w:val="00334222"/>
    <w:rsid w:val="00352B24"/>
    <w:rsid w:val="003736AC"/>
    <w:rsid w:val="00373C48"/>
    <w:rsid w:val="003761AA"/>
    <w:rsid w:val="00382EFE"/>
    <w:rsid w:val="00384732"/>
    <w:rsid w:val="003D7041"/>
    <w:rsid w:val="003E3B6E"/>
    <w:rsid w:val="003F09C8"/>
    <w:rsid w:val="003F48BB"/>
    <w:rsid w:val="004242F5"/>
    <w:rsid w:val="004261A7"/>
    <w:rsid w:val="00470187"/>
    <w:rsid w:val="00476713"/>
    <w:rsid w:val="00484C44"/>
    <w:rsid w:val="00497F65"/>
    <w:rsid w:val="004B4BC4"/>
    <w:rsid w:val="004E30FE"/>
    <w:rsid w:val="004F0EAF"/>
    <w:rsid w:val="004F7114"/>
    <w:rsid w:val="00501715"/>
    <w:rsid w:val="00514796"/>
    <w:rsid w:val="005343EA"/>
    <w:rsid w:val="005540D6"/>
    <w:rsid w:val="00563F88"/>
    <w:rsid w:val="005655F7"/>
    <w:rsid w:val="005664E8"/>
    <w:rsid w:val="00587253"/>
    <w:rsid w:val="00592803"/>
    <w:rsid w:val="005A32BD"/>
    <w:rsid w:val="005E6351"/>
    <w:rsid w:val="00617A7C"/>
    <w:rsid w:val="0062248A"/>
    <w:rsid w:val="00642168"/>
    <w:rsid w:val="0064639C"/>
    <w:rsid w:val="00676905"/>
    <w:rsid w:val="00692F73"/>
    <w:rsid w:val="006A39A4"/>
    <w:rsid w:val="006A58A3"/>
    <w:rsid w:val="006B70A8"/>
    <w:rsid w:val="006D2375"/>
    <w:rsid w:val="006E6623"/>
    <w:rsid w:val="006F2EFF"/>
    <w:rsid w:val="007015BC"/>
    <w:rsid w:val="00724A30"/>
    <w:rsid w:val="007353E3"/>
    <w:rsid w:val="007358EF"/>
    <w:rsid w:val="0074323B"/>
    <w:rsid w:val="007675E3"/>
    <w:rsid w:val="007714D6"/>
    <w:rsid w:val="00783483"/>
    <w:rsid w:val="00791D48"/>
    <w:rsid w:val="00793A45"/>
    <w:rsid w:val="007A0B43"/>
    <w:rsid w:val="007C04C7"/>
    <w:rsid w:val="007F4B7F"/>
    <w:rsid w:val="00812E69"/>
    <w:rsid w:val="00815D6A"/>
    <w:rsid w:val="008266DE"/>
    <w:rsid w:val="00830FD5"/>
    <w:rsid w:val="0083703D"/>
    <w:rsid w:val="008445E2"/>
    <w:rsid w:val="0084666F"/>
    <w:rsid w:val="00865C4E"/>
    <w:rsid w:val="0088482B"/>
    <w:rsid w:val="00893571"/>
    <w:rsid w:val="008A0E94"/>
    <w:rsid w:val="008A4E7E"/>
    <w:rsid w:val="008A7A0E"/>
    <w:rsid w:val="008B113E"/>
    <w:rsid w:val="008C2431"/>
    <w:rsid w:val="008C42F0"/>
    <w:rsid w:val="008C5AB6"/>
    <w:rsid w:val="008E491D"/>
    <w:rsid w:val="00902F50"/>
    <w:rsid w:val="00922996"/>
    <w:rsid w:val="00945DB2"/>
    <w:rsid w:val="00994A4C"/>
    <w:rsid w:val="009C0060"/>
    <w:rsid w:val="009D3274"/>
    <w:rsid w:val="009E62E9"/>
    <w:rsid w:val="009F0D7B"/>
    <w:rsid w:val="009F11BF"/>
    <w:rsid w:val="009F15E5"/>
    <w:rsid w:val="00A019F9"/>
    <w:rsid w:val="00A14B72"/>
    <w:rsid w:val="00A228FB"/>
    <w:rsid w:val="00A31744"/>
    <w:rsid w:val="00A33A8F"/>
    <w:rsid w:val="00A42577"/>
    <w:rsid w:val="00A468CB"/>
    <w:rsid w:val="00A52768"/>
    <w:rsid w:val="00A5502B"/>
    <w:rsid w:val="00AB367D"/>
    <w:rsid w:val="00AD6D85"/>
    <w:rsid w:val="00AE0B8D"/>
    <w:rsid w:val="00AE2D33"/>
    <w:rsid w:val="00AF03B2"/>
    <w:rsid w:val="00AF3C4C"/>
    <w:rsid w:val="00B01258"/>
    <w:rsid w:val="00B2599A"/>
    <w:rsid w:val="00B31CDF"/>
    <w:rsid w:val="00B34E8B"/>
    <w:rsid w:val="00B42D45"/>
    <w:rsid w:val="00B4380C"/>
    <w:rsid w:val="00B554F1"/>
    <w:rsid w:val="00B6066F"/>
    <w:rsid w:val="00B62A80"/>
    <w:rsid w:val="00B74CB1"/>
    <w:rsid w:val="00B83025"/>
    <w:rsid w:val="00B87E4F"/>
    <w:rsid w:val="00B93D30"/>
    <w:rsid w:val="00BA6969"/>
    <w:rsid w:val="00BB1338"/>
    <w:rsid w:val="00C03344"/>
    <w:rsid w:val="00C13952"/>
    <w:rsid w:val="00C15056"/>
    <w:rsid w:val="00C16767"/>
    <w:rsid w:val="00C342FE"/>
    <w:rsid w:val="00C454FB"/>
    <w:rsid w:val="00C61C91"/>
    <w:rsid w:val="00C63DD2"/>
    <w:rsid w:val="00C66EEF"/>
    <w:rsid w:val="00C80C3C"/>
    <w:rsid w:val="00C81B64"/>
    <w:rsid w:val="00C878AD"/>
    <w:rsid w:val="00C91AD1"/>
    <w:rsid w:val="00CA514E"/>
    <w:rsid w:val="00CA5877"/>
    <w:rsid w:val="00CC3081"/>
    <w:rsid w:val="00CD5666"/>
    <w:rsid w:val="00CF5349"/>
    <w:rsid w:val="00D0582F"/>
    <w:rsid w:val="00D10414"/>
    <w:rsid w:val="00D22705"/>
    <w:rsid w:val="00D248ED"/>
    <w:rsid w:val="00D50E92"/>
    <w:rsid w:val="00D637E5"/>
    <w:rsid w:val="00D67E9C"/>
    <w:rsid w:val="00D76514"/>
    <w:rsid w:val="00D95B19"/>
    <w:rsid w:val="00D961EB"/>
    <w:rsid w:val="00DA7EF3"/>
    <w:rsid w:val="00DD560D"/>
    <w:rsid w:val="00E26F82"/>
    <w:rsid w:val="00E36465"/>
    <w:rsid w:val="00E475DD"/>
    <w:rsid w:val="00E55354"/>
    <w:rsid w:val="00E81CE3"/>
    <w:rsid w:val="00E9160B"/>
    <w:rsid w:val="00EA434F"/>
    <w:rsid w:val="00EB365E"/>
    <w:rsid w:val="00ED31C9"/>
    <w:rsid w:val="00ED47DC"/>
    <w:rsid w:val="00ED58F8"/>
    <w:rsid w:val="00EF2469"/>
    <w:rsid w:val="00F269D4"/>
    <w:rsid w:val="00F30AF2"/>
    <w:rsid w:val="00F366D5"/>
    <w:rsid w:val="00F36882"/>
    <w:rsid w:val="00F6111E"/>
    <w:rsid w:val="00F864EC"/>
    <w:rsid w:val="00FB1B9F"/>
    <w:rsid w:val="00FB2DE3"/>
    <w:rsid w:val="00FE4FEE"/>
    <w:rsid w:val="00FE53BD"/>
    <w:rsid w:val="00FF0296"/>
    <w:rsid w:val="00FF27E3"/>
    <w:rsid w:val="062F7535"/>
    <w:rsid w:val="0D3A191C"/>
    <w:rsid w:val="0E9F07D5"/>
    <w:rsid w:val="10C1590E"/>
    <w:rsid w:val="1E9B1192"/>
    <w:rsid w:val="1EFA172F"/>
    <w:rsid w:val="2B17769E"/>
    <w:rsid w:val="2E3A1F0E"/>
    <w:rsid w:val="3535495C"/>
    <w:rsid w:val="3F891BA2"/>
    <w:rsid w:val="42E62000"/>
    <w:rsid w:val="441F0020"/>
    <w:rsid w:val="59A73E97"/>
    <w:rsid w:val="59FC15AF"/>
    <w:rsid w:val="5AD169E2"/>
    <w:rsid w:val="7CC904EB"/>
    <w:rsid w:val="7FB91174"/>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character" w:styleId="7">
    <w:name w:val="Hyperlink"/>
    <w:basedOn w:val="5"/>
    <w:unhideWhenUsed/>
    <w:qFormat/>
    <w:uiPriority w:val="99"/>
    <w:rPr>
      <w:color w:val="0000FF"/>
      <w:u w:val="single"/>
    </w:rPr>
  </w:style>
  <w:style w:type="character" w:customStyle="1" w:styleId="9">
    <w:name w:val="页眉 Char"/>
    <w:basedOn w:val="5"/>
    <w:link w:val="3"/>
    <w:semiHidden/>
    <w:qFormat/>
    <w:locked/>
    <w:uiPriority w:val="99"/>
    <w:rPr>
      <w:rFonts w:ascii="Times New Roman" w:hAnsi="Times New Roman" w:cs="Times New Roman"/>
      <w:sz w:val="18"/>
      <w:szCs w:val="18"/>
    </w:rPr>
  </w:style>
  <w:style w:type="character" w:customStyle="1" w:styleId="10">
    <w:name w:val="页脚 Char"/>
    <w:basedOn w:val="5"/>
    <w:link w:val="2"/>
    <w:semiHidden/>
    <w:qFormat/>
    <w:locked/>
    <w:uiPriority w:val="99"/>
    <w:rPr>
      <w:rFonts w:ascii="Times New Roman" w:hAnsi="Times New Roman" w:cs="Times New Roman"/>
      <w:sz w:val="18"/>
      <w:szCs w:val="18"/>
    </w:rPr>
  </w:style>
  <w:style w:type="character" w:customStyle="1" w:styleId="11">
    <w:name w:val="fontstyle01"/>
    <w:basedOn w:val="5"/>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724</Words>
  <Characters>4133</Characters>
  <Lines>34</Lines>
  <Paragraphs>9</Paragraphs>
  <ScaleCrop>false</ScaleCrop>
  <LinksUpToDate>false</LinksUpToDate>
  <CharactersWithSpaces>4848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2018-05-23T10:01:00Z</dcterms:created>
  <dc:creator>曹文芳</dc:creator>
  <cp:lastModifiedBy>曹旭红</cp:lastModifiedBy>
  <cp:lastPrinted>2018-10-15T04:35:00Z</cp:lastPrinted>
  <dcterms:modified xsi:type="dcterms:W3CDTF">2020-04-14T12:13:57Z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