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line="320" w:lineRule="exact"/>
        <w:rPr>
          <w:rFonts w:ascii="方正大黑简体" w:hAnsi="宋体" w:eastAsia="方正大黑简体" w:cs="宋体"/>
          <w:b/>
          <w:sz w:val="32"/>
          <w:szCs w:val="32"/>
        </w:rPr>
      </w:pPr>
    </w:p>
    <w:p>
      <w:pPr>
        <w:autoSpaceDE w:val="0"/>
        <w:autoSpaceDN w:val="0"/>
        <w:adjustRightInd w:val="0"/>
        <w:snapToGrid w:val="0"/>
        <w:spacing w:beforeLines="50" w:line="320" w:lineRule="exact"/>
        <w:jc w:val="center"/>
        <w:rPr>
          <w:rFonts w:ascii="方正大黑简体" w:hAnsi="宋体" w:eastAsia="方正大黑简体" w:cs="宋体"/>
          <w:b/>
          <w:sz w:val="32"/>
          <w:szCs w:val="32"/>
        </w:rPr>
      </w:pPr>
      <w:r>
        <w:rPr>
          <w:rFonts w:hint="eastAsia" w:ascii="方正大黑简体" w:hAnsi="宋体" w:eastAsia="方正大黑简体" w:cs="宋体"/>
          <w:b/>
          <w:sz w:val="32"/>
          <w:szCs w:val="32"/>
        </w:rPr>
        <w:t>新疆银行人民币同业理财产品协议书</w:t>
      </w:r>
    </w:p>
    <w:p>
      <w:pPr>
        <w:autoSpaceDE w:val="0"/>
        <w:autoSpaceDN w:val="0"/>
        <w:adjustRightInd w:val="0"/>
        <w:snapToGrid w:val="0"/>
        <w:spacing w:beforeLines="50" w:line="240" w:lineRule="exact"/>
        <w:jc w:val="center"/>
        <w:rPr>
          <w:rFonts w:ascii="宋体" w:hAnsi="宋体" w:cs="宋体"/>
          <w:b/>
          <w:sz w:val="18"/>
          <w:szCs w:val="18"/>
        </w:rPr>
      </w:pPr>
      <w:r>
        <w:rPr>
          <w:rFonts w:hint="eastAsia" w:ascii="宋体" w:hAnsi="宋体" w:cstheme="minorBidi"/>
          <w:b/>
          <w:bCs/>
          <w:sz w:val="18"/>
          <w:szCs w:val="18"/>
        </w:rPr>
        <w:t>理财产品过往业绩不代表其未来表现，不等于理财产品实际收益</w:t>
      </w:r>
    </w:p>
    <w:p>
      <w:pPr>
        <w:autoSpaceDE w:val="0"/>
        <w:autoSpaceDN w:val="0"/>
        <w:adjustRightInd w:val="0"/>
        <w:snapToGrid w:val="0"/>
        <w:spacing w:beforeLines="50" w:line="240" w:lineRule="exact"/>
        <w:jc w:val="center"/>
        <w:rPr>
          <w:rFonts w:ascii="宋体" w:cs="宋体"/>
          <w:b/>
          <w:sz w:val="18"/>
          <w:szCs w:val="18"/>
        </w:rPr>
      </w:pPr>
      <w:r>
        <w:rPr>
          <w:rFonts w:hint="eastAsia" w:ascii="宋体" w:hAnsi="宋体" w:cs="宋体"/>
          <w:b/>
          <w:sz w:val="18"/>
          <w:szCs w:val="18"/>
        </w:rPr>
        <w:t>理财非存款、产品有风险、投资须谨慎</w:t>
      </w:r>
    </w:p>
    <w:p>
      <w:pPr>
        <w:autoSpaceDE w:val="0"/>
        <w:autoSpaceDN w:val="0"/>
        <w:adjustRightInd w:val="0"/>
        <w:snapToGrid w:val="0"/>
        <w:spacing w:beforeLines="50" w:line="320" w:lineRule="exact"/>
        <w:jc w:val="center"/>
        <w:rPr>
          <w:rFonts w:ascii="宋体" w:cs="宋体"/>
          <w:b/>
          <w:sz w:val="18"/>
          <w:szCs w:val="18"/>
          <w:u w:val="single"/>
        </w:rPr>
      </w:pP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4"/>
        <w:tblW w:w="9356" w:type="dxa"/>
        <w:tblInd w:w="-5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65"/>
        <w:gridCol w:w="16"/>
        <w:gridCol w:w="2587"/>
        <w:gridCol w:w="1429"/>
        <w:gridCol w:w="11"/>
        <w:gridCol w:w="3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bCs/>
              </w:rPr>
            </w:pPr>
            <w:r>
              <w:rPr>
                <w:rFonts w:hint="eastAsia" w:ascii="宋体" w:hAnsi="宋体" w:cs="宋体"/>
                <w:b/>
                <w:bCs/>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甲方（客户）名称</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证件类型</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法定代表人</w:t>
            </w:r>
          </w:p>
          <w:p>
            <w:pPr>
              <w:adjustRightInd w:val="0"/>
              <w:snapToGrid w:val="0"/>
              <w:jc w:val="center"/>
              <w:rPr>
                <w:rFonts w:ascii="宋体" w:cs="宋体"/>
                <w:sz w:val="18"/>
                <w:szCs w:val="18"/>
              </w:rPr>
            </w:pPr>
            <w:r>
              <w:rPr>
                <w:rFonts w:hint="eastAsia" w:ascii="宋体" w:hAnsi="宋体" w:cs="宋体"/>
                <w:sz w:val="18"/>
                <w:szCs w:val="18"/>
              </w:rPr>
              <w:t>（有权签字人）</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证件号码</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联系地址</w:t>
            </w:r>
          </w:p>
        </w:tc>
        <w:tc>
          <w:tcPr>
            <w:tcW w:w="2587" w:type="dxa"/>
            <w:shd w:val="solid" w:color="FFFFFF" w:fill="FFFFFF"/>
            <w:vAlign w:val="center"/>
          </w:tcPr>
          <w:p>
            <w:pPr>
              <w:adjustRightInd w:val="0"/>
              <w:snapToGrid w:val="0"/>
              <w:jc w:val="center"/>
              <w:rPr>
                <w:rFonts w:ascii="宋体" w:cs="宋体"/>
                <w:sz w:val="18"/>
                <w:szCs w:val="18"/>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联系电话</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邮编</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传真</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left"/>
              <w:rPr>
                <w:rFonts w:ascii="宋体" w:cs="宋体"/>
                <w:bCs/>
                <w:sz w:val="18"/>
                <w:szCs w:val="18"/>
              </w:rPr>
            </w:pPr>
            <w:r>
              <w:rPr>
                <w:rFonts w:hint="eastAsia" w:ascii="宋体" w:hAnsi="宋体" w:cs="宋体"/>
                <w:bCs/>
                <w:sz w:val="18"/>
                <w:szCs w:val="18"/>
              </w:rPr>
              <w:t>乙方（银行）名称</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hAnsi="宋体" w:cs="宋体"/>
                <w:sz w:val="18"/>
                <w:szCs w:val="18"/>
              </w:rPr>
              <w:t>新疆银行股份有限公司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经办行地址</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新疆乌鲁木齐市天山区新华南路338号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邮政编码</w:t>
            </w:r>
          </w:p>
        </w:tc>
        <w:tc>
          <w:tcPr>
            <w:tcW w:w="2587" w:type="dxa"/>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830000</w:t>
            </w:r>
          </w:p>
        </w:tc>
        <w:tc>
          <w:tcPr>
            <w:tcW w:w="1429" w:type="dxa"/>
            <w:shd w:val="solid" w:color="FFFFFF" w:fill="FFFFFF"/>
            <w:vAlign w:val="center"/>
          </w:tcPr>
          <w:p>
            <w:pPr>
              <w:spacing w:line="280" w:lineRule="exact"/>
              <w:jc w:val="center"/>
              <w:rPr>
                <w:rFonts w:ascii="宋体" w:cs="宋体"/>
                <w:bCs/>
                <w:sz w:val="18"/>
                <w:szCs w:val="18"/>
              </w:rPr>
            </w:pPr>
            <w:r>
              <w:rPr>
                <w:rFonts w:hint="eastAsia" w:ascii="宋体" w:hAnsi="宋体" w:cs="宋体"/>
                <w:bCs/>
                <w:sz w:val="18"/>
                <w:szCs w:val="18"/>
              </w:rPr>
              <w:t>联系电话</w:t>
            </w:r>
          </w:p>
        </w:tc>
        <w:tc>
          <w:tcPr>
            <w:tcW w:w="3699" w:type="dxa"/>
            <w:gridSpan w:val="2"/>
            <w:shd w:val="solid" w:color="FFFFFF" w:fill="FFFFFF"/>
            <w:vAlign w:val="center"/>
          </w:tcPr>
          <w:p>
            <w:pPr>
              <w:spacing w:line="320" w:lineRule="exact"/>
              <w:jc w:val="left"/>
              <w:rPr>
                <w:rFonts w:hint="default" w:ascii="宋体" w:eastAsia="宋体" w:cs="宋体"/>
                <w:bCs/>
                <w:sz w:val="18"/>
                <w:szCs w:val="18"/>
                <w:lang w:val="en-US" w:eastAsia="zh-CN"/>
              </w:rPr>
            </w:pPr>
            <w:r>
              <w:rPr>
                <w:rFonts w:hint="eastAsia" w:ascii="宋体" w:cs="宋体"/>
                <w:bCs/>
                <w:sz w:val="18"/>
                <w:szCs w:val="18"/>
              </w:rPr>
              <w:t>0991-</w:t>
            </w:r>
            <w:r>
              <w:rPr>
                <w:rFonts w:hint="eastAsia" w:ascii="宋体" w:cs="宋体"/>
                <w:bCs/>
                <w:sz w:val="18"/>
                <w:szCs w:val="18"/>
                <w:lang w:val="en-US" w:eastAsia="zh-CN"/>
              </w:rPr>
              <w:t>2378506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jc w:val="center"/>
              <w:rPr>
                <w:rFonts w:ascii="宋体" w:cs="宋体"/>
                <w:sz w:val="18"/>
                <w:szCs w:val="18"/>
              </w:rPr>
            </w:pPr>
            <w:r>
              <w:rPr>
                <w:rFonts w:hint="eastAsia" w:ascii="宋体" w:hAnsi="宋体" w:cs="宋体"/>
                <w:sz w:val="18"/>
                <w:szCs w:val="18"/>
              </w:rPr>
              <w:t>产品名称</w:t>
            </w:r>
          </w:p>
        </w:tc>
        <w:tc>
          <w:tcPr>
            <w:tcW w:w="7731" w:type="dxa"/>
            <w:gridSpan w:val="5"/>
            <w:shd w:val="solid" w:color="FFFFFF" w:fill="FFFFFF"/>
          </w:tcPr>
          <w:p>
            <w:pPr>
              <w:autoSpaceDE w:val="0"/>
              <w:autoSpaceDN w:val="0"/>
              <w:adjustRightInd w:val="0"/>
              <w:snapToGrid w:val="0"/>
              <w:spacing w:beforeLines="50" w:line="320" w:lineRule="exact"/>
              <w:rPr>
                <w:rFonts w:ascii="宋体" w:cs="宋体"/>
                <w:b/>
                <w:sz w:val="18"/>
                <w:szCs w:val="18"/>
              </w:rPr>
            </w:pPr>
            <w:r>
              <w:rPr>
                <w:rFonts w:hint="eastAsia" w:ascii="宋体" w:hAnsi="宋体"/>
                <w:bCs/>
                <w:sz w:val="18"/>
                <w:szCs w:val="18"/>
                <w:u w:val="single"/>
              </w:rPr>
              <w:t>金胡杨同业理财2020</w:t>
            </w:r>
            <w:r>
              <w:rPr>
                <w:rFonts w:hint="eastAsia" w:ascii="宋体" w:hAnsi="宋体"/>
                <w:bCs/>
                <w:sz w:val="18"/>
                <w:szCs w:val="18"/>
                <w:u w:val="single"/>
                <w:lang w:val="en-US" w:eastAsia="zh-CN"/>
              </w:rPr>
              <w:t>017</w:t>
            </w:r>
            <w:r>
              <w:rPr>
                <w:rFonts w:hint="eastAsia" w:ascii="宋体" w:hAnsi="宋体"/>
                <w:bCs/>
                <w:sz w:val="18"/>
                <w:szCs w:val="18"/>
                <w:u w:val="single"/>
              </w:rPr>
              <w:t>期</w:t>
            </w:r>
            <w:r>
              <w:rPr>
                <w:rFonts w:hint="eastAsia" w:ascii="宋体" w:hAnsi="宋体" w:cs="宋体"/>
                <w:b/>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pStyle w:val="3"/>
              <w:pBdr>
                <w:bottom w:val="none" w:color="auto" w:sz="0" w:space="0"/>
              </w:pBdr>
              <w:tabs>
                <w:tab w:val="clear" w:pos="4153"/>
                <w:tab w:val="clear" w:pos="8306"/>
              </w:tabs>
              <w:spacing w:line="320" w:lineRule="exact"/>
              <w:rPr>
                <w:rFonts w:ascii="宋体" w:cs="宋体"/>
                <w:bCs/>
              </w:rPr>
            </w:pPr>
            <w:r>
              <w:rPr>
                <w:rFonts w:hint="eastAsia" w:ascii="宋体" w:hAnsi="宋体" w:cs="宋体"/>
                <w:bCs/>
              </w:rPr>
              <w:t>销售编号</w:t>
            </w:r>
          </w:p>
        </w:tc>
        <w:tc>
          <w:tcPr>
            <w:tcW w:w="2603" w:type="dxa"/>
            <w:gridSpan w:val="2"/>
            <w:shd w:val="solid" w:color="FFFFFF" w:fill="FFFFFF"/>
            <w:vAlign w:val="center"/>
          </w:tcPr>
          <w:p>
            <w:pPr>
              <w:rPr>
                <w:rFonts w:ascii="宋体" w:cs="宋体"/>
                <w:bCs/>
                <w:sz w:val="18"/>
                <w:szCs w:val="18"/>
                <w:highlight w:val="yellow"/>
              </w:rPr>
            </w:pPr>
          </w:p>
        </w:tc>
        <w:tc>
          <w:tcPr>
            <w:tcW w:w="1440" w:type="dxa"/>
            <w:gridSpan w:val="2"/>
            <w:shd w:val="solid" w:color="FFFFFF" w:fill="FFFFFF"/>
            <w:vAlign w:val="center"/>
          </w:tcPr>
          <w:p>
            <w:pPr>
              <w:jc w:val="center"/>
              <w:rPr>
                <w:rFonts w:ascii="宋体" w:cs="宋体"/>
                <w:bCs/>
                <w:sz w:val="18"/>
                <w:szCs w:val="18"/>
              </w:rPr>
            </w:pPr>
            <w:r>
              <w:rPr>
                <w:rFonts w:hint="eastAsia" w:ascii="宋体" w:hAnsi="宋体" w:cs="宋体"/>
                <w:bCs/>
                <w:sz w:val="18"/>
                <w:szCs w:val="18"/>
              </w:rPr>
              <w:t>投资币种</w:t>
            </w:r>
          </w:p>
        </w:tc>
        <w:tc>
          <w:tcPr>
            <w:tcW w:w="3688" w:type="dxa"/>
            <w:shd w:val="solid" w:color="FFFFFF" w:fill="FFFFFF"/>
            <w:vAlign w:val="center"/>
          </w:tcPr>
          <w:p>
            <w:pPr>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9356" w:type="dxa"/>
            <w:gridSpan w:val="7"/>
            <w:shd w:val="solid" w:color="FFFFFF" w:fill="FFFFFF"/>
            <w:vAlign w:val="center"/>
          </w:tcPr>
          <w:p>
            <w:pPr>
              <w:rPr>
                <w:rFonts w:ascii="宋体" w:cs="宋体"/>
                <w:b/>
                <w:bCs/>
                <w:sz w:val="18"/>
                <w:szCs w:val="18"/>
              </w:rPr>
            </w:pPr>
            <w:r>
              <w:rPr>
                <w:rFonts w:hint="eastAsia" w:ascii="宋体" w:hAnsi="宋体" w:cs="宋体"/>
                <w:sz w:val="18"/>
                <w:szCs w:val="18"/>
              </w:rPr>
              <w:t>甲方购买金额为（小写）：</w:t>
            </w:r>
            <w:r>
              <w:rPr>
                <w:rFonts w:hint="eastAsia" w:ascii="方正大黑简体" w:hAnsi="宋体" w:eastAsia="方正大黑简体" w:cs="宋体"/>
                <w:bCs/>
                <w:szCs w:val="21"/>
              </w:rPr>
              <w:t>￥</w:t>
            </w:r>
            <w:r>
              <w:rPr>
                <w:rFonts w:hint="eastAsia" w:ascii="宋体" w:hAnsi="宋体" w:cs="宋体"/>
                <w:sz w:val="18"/>
                <w:szCs w:val="18"/>
                <w:u w:val="single"/>
                <w:lang w:val="en-US" w:eastAsia="zh-CN"/>
              </w:rPr>
              <w:t xml:space="preserve"> 0</w:t>
            </w:r>
            <w:r>
              <w:rPr>
                <w:rFonts w:hint="eastAsia" w:ascii="宋体" w:hAnsi="宋体" w:cs="宋体"/>
                <w:sz w:val="18"/>
                <w:szCs w:val="18"/>
                <w:u w:val="single"/>
              </w:rPr>
              <w:t>00000.00</w:t>
            </w:r>
            <w:r>
              <w:rPr>
                <w:rFonts w:hint="eastAsia" w:ascii="宋体" w:hAnsi="宋体" w:cs="宋体"/>
                <w:sz w:val="18"/>
                <w:szCs w:val="18"/>
              </w:rPr>
              <w:t>，大写：</w:t>
            </w:r>
            <w:r>
              <w:rPr>
                <w:rFonts w:hint="eastAsia" w:ascii="宋体" w:hAnsi="宋体" w:cs="宋体"/>
                <w:sz w:val="18"/>
                <w:szCs w:val="18"/>
                <w:u w:val="single"/>
              </w:rPr>
              <w:t xml:space="preserve">  </w:t>
            </w:r>
            <w:r>
              <w:rPr>
                <w:rFonts w:hint="eastAsia" w:ascii="宋体" w:hAnsi="宋体" w:cs="宋体"/>
                <w:sz w:val="18"/>
                <w:szCs w:val="18"/>
                <w:u w:val="single"/>
                <w:lang w:val="en-US" w:eastAsia="zh-CN"/>
              </w:rPr>
              <w:t xml:space="preserve"> </w:t>
            </w:r>
            <w:r>
              <w:rPr>
                <w:rFonts w:hint="eastAsia" w:ascii="宋体" w:hAnsi="宋体" w:cs="宋体"/>
                <w:sz w:val="18"/>
                <w:szCs w:val="18"/>
                <w:u w:val="single"/>
              </w:rPr>
              <w:t>元整</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账户信息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z w:val="18"/>
                <w:szCs w:val="18"/>
              </w:rPr>
            </w:pPr>
            <w:r>
              <w:rPr>
                <w:rFonts w:hint="eastAsia" w:ascii="宋体" w:hAnsi="宋体" w:cs="宋体"/>
                <w:color w:val="FF0000"/>
                <w:spacing w:val="-6"/>
                <w:sz w:val="18"/>
                <w:szCs w:val="18"/>
              </w:rPr>
              <w:t>户名</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z w:val="18"/>
                <w:szCs w:val="18"/>
              </w:rPr>
              <w:t>账号</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pacing w:val="-6"/>
                <w:sz w:val="18"/>
                <w:szCs w:val="18"/>
              </w:rPr>
              <w:t>开户行</w:t>
            </w:r>
          </w:p>
        </w:tc>
        <w:tc>
          <w:tcPr>
            <w:tcW w:w="7796" w:type="dxa"/>
            <w:gridSpan w:val="6"/>
            <w:shd w:val="solid" w:color="FFFFFF" w:fill="FFFFFF"/>
            <w:vAlign w:val="center"/>
          </w:tcPr>
          <w:p>
            <w:pPr>
              <w:adjustRightInd w:val="0"/>
              <w:snapToGrid w:val="0"/>
              <w:rPr>
                <w:rFonts w:hint="default" w:ascii="宋体" w:eastAsia="宋体" w:cs="宋体"/>
                <w:sz w:val="18"/>
                <w:szCs w:val="18"/>
                <w:lang w:val="en-US" w:eastAsia="zh-CN"/>
              </w:rPr>
            </w:pPr>
            <w:r>
              <w:rPr>
                <w:rFonts w:hint="eastAsia" w:ascii="宋体" w:cs="宋体"/>
                <w:sz w:val="18"/>
                <w:szCs w:val="18"/>
                <w:lang w:val="en-US" w:eastAsia="zh-CN"/>
              </w:rPr>
              <w:t xml:space="preserve">                                      </w:t>
            </w:r>
            <w:r>
              <w:rPr>
                <w:rFonts w:hint="eastAsia" w:ascii="宋体" w:cs="宋体"/>
                <w:color w:val="FF0000"/>
                <w:sz w:val="18"/>
                <w:szCs w:val="18"/>
                <w:lang w:val="en-US" w:eastAsia="zh-CN"/>
              </w:rPr>
              <w:t xml:space="preserve"> (行号：                   )</w:t>
            </w:r>
          </w:p>
        </w:tc>
      </w:tr>
    </w:tbl>
    <w:p>
      <w:pPr>
        <w:tabs>
          <w:tab w:val="left" w:pos="8070"/>
          <w:tab w:val="right" w:pos="8306"/>
        </w:tabs>
        <w:autoSpaceDE w:val="0"/>
        <w:autoSpaceDN w:val="0"/>
        <w:adjustRightInd w:val="0"/>
        <w:snapToGrid w:val="0"/>
        <w:spacing w:line="280" w:lineRule="exact"/>
        <w:ind w:firstLine="336" w:firstLineChars="200"/>
        <w:rPr>
          <w:rFonts w:ascii="宋体" w:cs="宋体"/>
          <w:spacing w:val="-6"/>
          <w:sz w:val="18"/>
          <w:szCs w:val="18"/>
        </w:rPr>
      </w:pP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甲乙双方经友好协商，本着平等自愿、诚实信用的原则，就甲方向乙方购买本期人民币理财产品（以下简称“本理财产品”），达成协议如下：</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第一条双方权利义务</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甲方自愿向乙方购买本理财产品，接受乙方提供的投资理财服务。甲方承诺由此产生的相关风险由甲方承担，本理财产品甲方面临的投资风险详见《新疆银行人民币公司理财产品风险揭示书》（以下简称《风险揭示书》）。</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2、乙方在受托运用理财资金进行投资时，应履行诚实信用、谨慎勤勉的义务，管理理财产品资金，依法保护甲方的财产权益。</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3、甲方指定账户（以下简称“账户”），用于本理财产品的理财资金划转及理财产品兑付，甲方承诺理财期间该账户不被销户。</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（1）如甲方指定账户开户行在乙方，则甲方应在募集结束日当日下午</w:t>
      </w:r>
      <w:r>
        <w:rPr>
          <w:rFonts w:ascii="宋体" w:hAnsi="宋体" w:cs="宋体"/>
          <w:bCs/>
          <w:sz w:val="18"/>
          <w:szCs w:val="18"/>
        </w:rPr>
        <w:t>1</w:t>
      </w:r>
      <w:r>
        <w:rPr>
          <w:rFonts w:hint="eastAsia" w:ascii="宋体" w:hAnsi="宋体" w:cs="宋体"/>
          <w:bCs/>
          <w:sz w:val="18"/>
          <w:szCs w:val="18"/>
        </w:rPr>
        <w:t>3</w:t>
      </w:r>
      <w:r>
        <w:rPr>
          <w:rFonts w:ascii="宋体" w:hAnsi="宋体" w:cs="宋体"/>
          <w:bCs/>
          <w:sz w:val="18"/>
          <w:szCs w:val="18"/>
        </w:rPr>
        <w:t>:00</w:t>
      </w:r>
      <w:r>
        <w:rPr>
          <w:rFonts w:hint="eastAsia" w:ascii="宋体" w:hAnsi="宋体" w:cs="宋体"/>
          <w:bCs/>
          <w:sz w:val="18"/>
          <w:szCs w:val="18"/>
        </w:rPr>
        <w:t>前向指定账户存入足额资金，甲方并授权乙方于起息日当日将甲方账户内相应的理财资金划转至乙方指定账户。由于甲方指定账户资金不足导致交易失败的，乙方不承担责任。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（2）如甲方指定账户开户行不在乙方，则甲方应于募集期结束当日下午13：00前向乙方指定账户划入足额资金。</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本协议下，甲方指定账户按照以上第（ 2 ）种方式办理。</w:t>
      </w:r>
    </w:p>
    <w:p>
      <w:pPr>
        <w:numPr>
          <w:ilvl w:val="0"/>
          <w:numId w:val="1"/>
        </w:numPr>
        <w:tabs>
          <w:tab w:val="left" w:pos="360"/>
          <w:tab w:val="left" w:pos="600"/>
        </w:tabs>
        <w:autoSpaceDE w:val="0"/>
        <w:autoSpaceDN w:val="0"/>
        <w:adjustRightInd w:val="0"/>
        <w:snapToGrid w:val="0"/>
        <w:spacing w:line="360" w:lineRule="auto"/>
        <w:rPr>
          <w:rFonts w:ascii="宋体" w:hAnsi="宋体" w:cs="宋体"/>
          <w:bCs/>
          <w:sz w:val="18"/>
          <w:szCs w:val="18"/>
          <w:u w:val="single"/>
        </w:rPr>
      </w:pPr>
      <w:r>
        <w:rPr>
          <w:rFonts w:hint="eastAsia" w:ascii="宋体" w:hAnsi="宋体" w:cs="宋体"/>
          <w:bCs/>
          <w:sz w:val="18"/>
          <w:szCs w:val="18"/>
        </w:rPr>
        <w:t>甲方指定账户户名：  账号：</w:t>
      </w:r>
    </w:p>
    <w:p>
      <w:pPr>
        <w:tabs>
          <w:tab w:val="left" w:pos="360"/>
          <w:tab w:val="left" w:pos="600"/>
        </w:tabs>
        <w:autoSpaceDE w:val="0"/>
        <w:autoSpaceDN w:val="0"/>
        <w:adjustRightInd w:val="0"/>
        <w:snapToGrid w:val="0"/>
        <w:spacing w:line="360" w:lineRule="auto"/>
        <w:ind w:left="360" w:firstLine="270" w:firstLineChars="150"/>
        <w:rPr>
          <w:rFonts w:ascii="宋体" w:hAnsi="宋体" w:cs="宋体"/>
          <w:bCs/>
          <w:sz w:val="18"/>
          <w:szCs w:val="18"/>
          <w:u w:val="single"/>
        </w:rPr>
      </w:pPr>
      <w:r>
        <w:rPr>
          <w:rFonts w:hint="eastAsia" w:ascii="宋体" w:hAnsi="宋体" w:cs="宋体"/>
          <w:bCs/>
          <w:sz w:val="18"/>
          <w:szCs w:val="18"/>
        </w:rPr>
        <w:t>大额支付行号：  开户行：</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②乙方清算账户名称：</w:t>
      </w:r>
      <w:r>
        <w:rPr>
          <w:rFonts w:hint="eastAsia" w:ascii="宋体" w:hAnsi="宋体" w:cs="宋体"/>
          <w:bCs/>
          <w:sz w:val="18"/>
          <w:szCs w:val="18"/>
          <w:u w:val="single"/>
        </w:rPr>
        <w:t xml:space="preserve">  非保本理财产品募集户（机构） </w:t>
      </w:r>
      <w:r>
        <w:rPr>
          <w:rFonts w:hint="eastAsia" w:ascii="宋体" w:hAnsi="宋体" w:cs="宋体"/>
          <w:bCs/>
          <w:sz w:val="18"/>
          <w:szCs w:val="18"/>
        </w:rPr>
        <w:t xml:space="preserve">  账号：</w:t>
      </w:r>
      <w:r>
        <w:rPr>
          <w:rFonts w:hint="eastAsia" w:ascii="宋体" w:hAnsi="宋体" w:cs="宋体"/>
          <w:bCs/>
          <w:sz w:val="18"/>
          <w:szCs w:val="18"/>
          <w:u w:val="single"/>
        </w:rPr>
        <w:t>80011715625013101002050002</w:t>
      </w:r>
    </w:p>
    <w:p>
      <w:pPr>
        <w:tabs>
          <w:tab w:val="left" w:pos="360"/>
          <w:tab w:val="left" w:pos="600"/>
        </w:tabs>
        <w:autoSpaceDE w:val="0"/>
        <w:autoSpaceDN w:val="0"/>
        <w:adjustRightInd w:val="0"/>
        <w:snapToGrid w:val="0"/>
        <w:spacing w:line="360" w:lineRule="auto"/>
        <w:ind w:firstLine="630" w:firstLineChars="350"/>
        <w:rPr>
          <w:rFonts w:ascii="宋体" w:hAnsi="宋体" w:cs="宋体"/>
          <w:bCs/>
          <w:sz w:val="18"/>
          <w:szCs w:val="18"/>
        </w:rPr>
      </w:pPr>
      <w:r>
        <w:rPr>
          <w:rFonts w:hint="eastAsia" w:ascii="宋体" w:hAnsi="宋体" w:cs="宋体"/>
          <w:bCs/>
          <w:sz w:val="18"/>
          <w:szCs w:val="18"/>
        </w:rPr>
        <w:t>大额支付行号：</w:t>
      </w:r>
      <w:r>
        <w:rPr>
          <w:rFonts w:hint="eastAsia" w:ascii="宋体" w:hAnsi="宋体" w:cs="宋体"/>
          <w:bCs/>
          <w:szCs w:val="21"/>
          <w:u w:val="single"/>
        </w:rPr>
        <w:t xml:space="preserve">313881088887 </w:t>
      </w:r>
      <w:r>
        <w:rPr>
          <w:rFonts w:hint="eastAsia" w:ascii="宋体" w:hAnsi="宋体" w:cs="宋体"/>
          <w:bCs/>
          <w:sz w:val="18"/>
          <w:szCs w:val="18"/>
        </w:rPr>
        <w:t xml:space="preserve">           开户行：</w:t>
      </w:r>
      <w:r>
        <w:rPr>
          <w:rFonts w:hint="eastAsia" w:ascii="宋体" w:hAnsi="宋体" w:cs="宋体"/>
          <w:bCs/>
          <w:sz w:val="18"/>
          <w:szCs w:val="18"/>
          <w:u w:val="single"/>
        </w:rPr>
        <w:t xml:space="preserve">  新疆银行股份有限公司           </w:t>
      </w:r>
    </w:p>
    <w:p>
      <w:pPr>
        <w:tabs>
          <w:tab w:val="left" w:pos="360"/>
          <w:tab w:val="left" w:pos="600"/>
        </w:tabs>
        <w:autoSpaceDE w:val="0"/>
        <w:autoSpaceDN w:val="0"/>
        <w:adjustRightInd w:val="0"/>
        <w:snapToGrid w:val="0"/>
        <w:spacing w:line="360" w:lineRule="auto"/>
        <w:ind w:firstLine="361" w:firstLineChars="200"/>
        <w:rPr>
          <w:rFonts w:ascii="宋体" w:cs="宋体"/>
          <w:b/>
          <w:bCs/>
          <w:sz w:val="18"/>
          <w:szCs w:val="18"/>
        </w:rPr>
      </w:pPr>
      <w:r>
        <w:rPr>
          <w:rFonts w:hint="eastAsia" w:ascii="宋体" w:hAnsi="宋体" w:cs="宋体"/>
          <w:b/>
          <w:bCs/>
          <w:sz w:val="18"/>
          <w:szCs w:val="18"/>
        </w:rPr>
        <w:t>特别提示：因本产品系列</w:t>
      </w:r>
      <w:r>
        <w:rPr>
          <w:rFonts w:hint="eastAsia" w:ascii="宋体" w:hAnsi="宋体" w:cs="宋体"/>
          <w:b/>
          <w:bCs/>
          <w:color w:val="000000"/>
          <w:sz w:val="18"/>
          <w:szCs w:val="18"/>
        </w:rPr>
        <w:t>主要投向</w:t>
      </w:r>
      <w:r>
        <w:rPr>
          <w:rFonts w:hint="eastAsia" w:ascii="宋体" w:hAnsi="宋体" w:cs="宋体"/>
          <w:b/>
          <w:bCs/>
          <w:sz w:val="18"/>
          <w:szCs w:val="18"/>
        </w:rPr>
        <w:t>具有较强流动性的货币市场工具、债券、符合监管机构规定的其他金融资产，投资者主要面临的风险为信用风险、流动性风险和利率风险等投资风险。本理财计划存在上述投资风险，客户参考年化收益率为测算收益，并不代表您一定获得的保证收益，在您签署本理财计划协议书前，应当仔细阅读本理财产品协议书条款、《产品说明书》、《风险揭示书》，特别是《风险揭示书》中相关风险提示。</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4、在甲方持有本理财产品期间，乙方有权收取理财产品相关费用，具体费用项目、收费标准和收费方式等详见《新疆银行人民币公司理财产品说明书》（以下简称《产品说明书》）。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5、在乙方对该产品开放电子银行渠道情况下，甲方可以通过乙方的电子银行渠道购买该产品，并接受和认可前述渠道购买该产品的法律效力。</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6、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第二条    信息披露</w:t>
      </w:r>
    </w:p>
    <w:p>
      <w:pPr>
        <w:tabs>
          <w:tab w:val="left" w:pos="360"/>
          <w:tab w:val="left" w:pos="600"/>
        </w:tabs>
        <w:autoSpaceDE w:val="0"/>
        <w:autoSpaceDN w:val="0"/>
        <w:adjustRightInd w:val="0"/>
        <w:snapToGrid w:val="0"/>
        <w:spacing w:line="360" w:lineRule="auto"/>
        <w:ind w:firstLine="354" w:firstLineChars="196"/>
        <w:rPr>
          <w:rFonts w:ascii="宋体" w:hAnsi="宋体" w:cs="宋体"/>
          <w:b/>
          <w:bCs/>
          <w:sz w:val="18"/>
          <w:szCs w:val="18"/>
        </w:rPr>
      </w:pPr>
      <w:r>
        <w:rPr>
          <w:rFonts w:hint="eastAsia" w:ascii="宋体" w:hAnsi="宋体" w:cs="宋体"/>
          <w:b/>
          <w:bCs/>
          <w:sz w:val="18"/>
          <w:szCs w:val="18"/>
        </w:rPr>
        <w:t>1、本理财产品存续期间，乙方通过新疆银行营业网点或新疆银行网站（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）、新疆银行官方微信等信息渠道发布有关本理财产品的相关信息，包括产品成立、产品终止、收益率情况等理财产品相关信息（代对账单），具体信息披露详见《产品说明书》。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第三条   税务事项</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甲方所取得理财收益的应缴税款由甲方自行申报及缴纳，乙方不负担就甲方在本理财产品下理财收益缴纳税款的义务。</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第四条    不可抗力</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2、对由不可抗力导致的交易中断、延误及由此造成的损失，乙方不承担任何责任，但乙方应在条件允许的情况下，采取必要的补救措施以减少不可抗力造成的损失。</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第五条违约责任与争议处理</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1、由于本协议一方当事人的过错，造成本协议不能履行或不能完全履行的，由有过错的一方承担违约责任；如双方同时负有过错，则应由双方各自按照过错程度承担责任。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2、双方同意，发生下列情况造成损失时，按以下约定承担责任：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（1）对由于国家有关法律、法规、规章、政策的变化，监管机构管理规则的修改、紧急措施的出台等原因而导致的相关风险及损失，双方当事人互不承担责任；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（2）本协议书中涉及的所有日期如遇非工作日，则乙方有权做相应调整，由此产生的风险及损失双方当事人互不承担责任；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b/>
          <w:sz w:val="18"/>
          <w:szCs w:val="18"/>
        </w:rPr>
      </w:pPr>
      <w:r>
        <w:rPr>
          <w:rFonts w:hint="eastAsia" w:ascii="宋体" w:hAnsi="宋体" w:cs="宋体"/>
          <w:sz w:val="18"/>
          <w:szCs w:val="18"/>
        </w:rPr>
        <w:t>（3）</w:t>
      </w:r>
      <w:r>
        <w:rPr>
          <w:rFonts w:hint="eastAsia" w:ascii="宋体" w:hAnsi="宋体" w:cs="宋体"/>
          <w:b/>
          <w:sz w:val="18"/>
          <w:szCs w:val="18"/>
        </w:rPr>
        <w:t>如本理财产品甲方所涉及的资金被有权机关全部或部分冻结或者扣划，乙方有权提前终止本合同，且乙方不承担任何责任，如因此给乙方或产品其他客户造成损失的，甲方应承担违约责任。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3、甲乙双方在本协议书的执行过程中发生的任何争议，应通过友好协商解决。如协商不成，任何一方可向乙方所在地人民法院提起诉讼。</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第六条协议的签署和生效</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1、《产品说明书》、《风险揭示书》、《客户权益须知》构成本协议不可分割的组成部分，与本协议具有同等效力。</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2、甲方签署本协议即视为甲方已经阅读并认可本协议和《产品说明书》、《风险揭示书》、《客户权益须知》的全部内容，并已就投资于本理财产品做出独立的判断。</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3、本协议于甲乙双方签署之日起生效。若乙方通过电子银行渠道销售本理财产品且甲方通过电子银行渠道购买，则本协议经甲方点击确认并经乙方电子银行销售系统确认成交之日起生效。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4、乙方依据《产品说明书》的规定对本理财产品做出的修改视为对本协议的变更，并于乙方将该等修改通过新疆银行各营业网点或新疆银行网站公布之日起生效。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5、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tabs>
          <w:tab w:val="left" w:pos="360"/>
          <w:tab w:val="left" w:pos="600"/>
        </w:tabs>
        <w:autoSpaceDE w:val="0"/>
        <w:autoSpaceDN w:val="0"/>
        <w:adjustRightInd w:val="0"/>
        <w:snapToGrid w:val="0"/>
        <w:spacing w:line="360" w:lineRule="auto"/>
        <w:ind w:firstLine="361" w:firstLineChars="200"/>
        <w:rPr>
          <w:rFonts w:ascii="宋体" w:hAnsi="宋体" w:cs="宋体"/>
          <w:b/>
          <w:sz w:val="18"/>
          <w:szCs w:val="18"/>
        </w:rPr>
      </w:pPr>
      <w:r>
        <w:rPr>
          <w:rFonts w:hint="eastAsia" w:ascii="宋体" w:hAnsi="宋体" w:cs="宋体"/>
          <w:b/>
          <w:sz w:val="18"/>
          <w:szCs w:val="18"/>
        </w:rPr>
        <w:t>6、本协议书一式两份，甲方一份，乙方一份，具有同等法律效力。</w: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ind w:left="360"/>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bookmarkStart w:id="0" w:name="_GoBack"/>
      <w:bookmarkEnd w:id="0"/>
      <w:r>
        <w:pict>
          <v:shape id="_x0000_s1026" o:spid="_x0000_s1026" o:spt="202" type="#_x0000_t202" style="position:absolute;left:0pt;margin-left:0.75pt;margin-top:-24pt;height:263.75pt;width:460.65pt;z-index:1024;mso-width-relative:page;mso-height-relative:page;" filled="f" stroked="t" coordsize="21600,21600" o:gfxdata="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3LMytgAAAAJAQAADwAAAAAAAAABACAAAAAiAAAAZHJzL2Rvd25yZXYueG1sUEsB&#10;AhQAFAAAAAgAh07iQNxVlk31AQAAzwMAAA4AAAAAAAAAAQAgAAAAJwEAAGRycy9lMm9Eb2MueG1s&#10;UEsFBgAAAAAGAAYAWQEAAI4FAAAAAA==&#10;">
            <v:path/>
            <v:fill on="f" focussize="0,0"/>
            <v:stroke weight="1.5pt" color="#333300" joinstyle="miter"/>
            <v:imagedata o:title=""/>
            <o:lock v:ext="edit"/>
            <v:textbox>
              <w:txbxContent>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甲方（签章）：</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 xml:space="preserve">日期：  </w:t>
                  </w:r>
                  <w:r>
                    <w:rPr>
                      <w:rFonts w:hint="eastAsia" w:ascii="宋体" w:hAnsi="宋体"/>
                      <w:sz w:val="18"/>
                      <w:szCs w:val="18"/>
                      <w:lang w:val="en-US" w:eastAsia="zh-CN"/>
                    </w:rPr>
                    <w:t>2020</w:t>
                  </w:r>
                  <w:r>
                    <w:rPr>
                      <w:rFonts w:hint="eastAsia" w:ascii="宋体" w:hAnsi="宋体"/>
                      <w:sz w:val="18"/>
                      <w:szCs w:val="18"/>
                    </w:rPr>
                    <w:t>年</w:t>
                  </w:r>
                  <w:r>
                    <w:rPr>
                      <w:rFonts w:hint="eastAsia" w:ascii="宋体" w:hAnsi="宋体"/>
                      <w:sz w:val="18"/>
                      <w:szCs w:val="18"/>
                      <w:lang w:val="en-US" w:eastAsia="zh-CN"/>
                    </w:rPr>
                    <w:t>4</w:t>
                  </w:r>
                  <w:r>
                    <w:rPr>
                      <w:rFonts w:hint="eastAsia" w:ascii="宋体" w:hAnsi="宋体"/>
                      <w:sz w:val="18"/>
                      <w:szCs w:val="18"/>
                    </w:rPr>
                    <w:t>月</w:t>
                  </w:r>
                  <w:r>
                    <w:rPr>
                      <w:rFonts w:hint="eastAsia" w:ascii="宋体" w:hAnsi="宋体"/>
                      <w:sz w:val="18"/>
                      <w:szCs w:val="18"/>
                      <w:lang w:val="en-US" w:eastAsia="zh-CN"/>
                    </w:rPr>
                    <w:t>15</w:t>
                  </w:r>
                  <w:r>
                    <w:rPr>
                      <w:rFonts w:hint="eastAsia" w:ascii="宋体" w:hAnsi="宋体"/>
                      <w:sz w:val="18"/>
                      <w:szCs w:val="18"/>
                    </w:rPr>
                    <w:t>日</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adjustRightInd w:val="0"/>
                    <w:snapToGrid w:val="0"/>
                    <w:spacing w:line="360" w:lineRule="auto"/>
                    <w:rPr>
                      <w:rFonts w:ascii="宋体"/>
                      <w:sz w:val="18"/>
                      <w:szCs w:val="18"/>
                    </w:rPr>
                  </w:pPr>
                </w:p>
                <w:p>
                  <w:pPr>
                    <w:ind w:left="4200" w:firstLine="420"/>
                  </w:pPr>
                </w:p>
              </w:txbxContent>
            </v:textbox>
          </v:shape>
        </w:pic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ind w:firstLine="643"/>
        <w:jc w:val="center"/>
        <w:rPr>
          <w:rFonts w:ascii="方正大黑简体" w:hAnsi="宋体" w:eastAsia="方正大黑简体" w:cs="宋体"/>
          <w:b/>
          <w:sz w:val="32"/>
          <w:szCs w:val="32"/>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CD7E0E"/>
    <w:multiLevelType w:val="multilevel"/>
    <w:tmpl w:val="2FCD7E0E"/>
    <w:lvl w:ilvl="0" w:tentative="0">
      <w:start w:val="1"/>
      <w:numFmt w:val="decimalEnclosedCircle"/>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4372E6"/>
    <w:rsid w:val="00000156"/>
    <w:rsid w:val="00003317"/>
    <w:rsid w:val="00012FB2"/>
    <w:rsid w:val="00020672"/>
    <w:rsid w:val="00027FAC"/>
    <w:rsid w:val="00051620"/>
    <w:rsid w:val="00051AEA"/>
    <w:rsid w:val="000602F0"/>
    <w:rsid w:val="00060FD1"/>
    <w:rsid w:val="00063669"/>
    <w:rsid w:val="00067B33"/>
    <w:rsid w:val="00080D76"/>
    <w:rsid w:val="00097F15"/>
    <w:rsid w:val="000B43F1"/>
    <w:rsid w:val="000D4907"/>
    <w:rsid w:val="000E1020"/>
    <w:rsid w:val="000E28BE"/>
    <w:rsid w:val="000F0461"/>
    <w:rsid w:val="000F0E11"/>
    <w:rsid w:val="0012188C"/>
    <w:rsid w:val="00132AD3"/>
    <w:rsid w:val="00162098"/>
    <w:rsid w:val="0018073E"/>
    <w:rsid w:val="001B2FF5"/>
    <w:rsid w:val="001B37A6"/>
    <w:rsid w:val="001D7B70"/>
    <w:rsid w:val="001E7042"/>
    <w:rsid w:val="002017B7"/>
    <w:rsid w:val="002022BA"/>
    <w:rsid w:val="0020276D"/>
    <w:rsid w:val="002132F0"/>
    <w:rsid w:val="002171E4"/>
    <w:rsid w:val="00222ECB"/>
    <w:rsid w:val="00223A56"/>
    <w:rsid w:val="002261F7"/>
    <w:rsid w:val="00247B62"/>
    <w:rsid w:val="00251DD1"/>
    <w:rsid w:val="002950D6"/>
    <w:rsid w:val="00297520"/>
    <w:rsid w:val="002A7BF5"/>
    <w:rsid w:val="002C08BB"/>
    <w:rsid w:val="002C169A"/>
    <w:rsid w:val="002D1F74"/>
    <w:rsid w:val="002D4947"/>
    <w:rsid w:val="002F514A"/>
    <w:rsid w:val="002F6D6F"/>
    <w:rsid w:val="00307275"/>
    <w:rsid w:val="00307ECE"/>
    <w:rsid w:val="003260BF"/>
    <w:rsid w:val="003452B3"/>
    <w:rsid w:val="00371EC6"/>
    <w:rsid w:val="003E48A3"/>
    <w:rsid w:val="003E5BF2"/>
    <w:rsid w:val="003F4CF8"/>
    <w:rsid w:val="00407810"/>
    <w:rsid w:val="0041004E"/>
    <w:rsid w:val="00410488"/>
    <w:rsid w:val="00415C5E"/>
    <w:rsid w:val="00422E9C"/>
    <w:rsid w:val="004372E6"/>
    <w:rsid w:val="0044258B"/>
    <w:rsid w:val="00454088"/>
    <w:rsid w:val="004569CD"/>
    <w:rsid w:val="004611CC"/>
    <w:rsid w:val="00471ABD"/>
    <w:rsid w:val="004852E4"/>
    <w:rsid w:val="0049434F"/>
    <w:rsid w:val="004B5069"/>
    <w:rsid w:val="004C0D7C"/>
    <w:rsid w:val="004D403A"/>
    <w:rsid w:val="004F4770"/>
    <w:rsid w:val="004F7DA2"/>
    <w:rsid w:val="005032A6"/>
    <w:rsid w:val="00515D51"/>
    <w:rsid w:val="0054494B"/>
    <w:rsid w:val="005540D6"/>
    <w:rsid w:val="00555012"/>
    <w:rsid w:val="00557771"/>
    <w:rsid w:val="00565135"/>
    <w:rsid w:val="005A5D6C"/>
    <w:rsid w:val="005E39C3"/>
    <w:rsid w:val="005F37B5"/>
    <w:rsid w:val="00621975"/>
    <w:rsid w:val="00625203"/>
    <w:rsid w:val="00632EEB"/>
    <w:rsid w:val="00636F5C"/>
    <w:rsid w:val="00653CB6"/>
    <w:rsid w:val="006547E3"/>
    <w:rsid w:val="00655985"/>
    <w:rsid w:val="00693257"/>
    <w:rsid w:val="00696C1F"/>
    <w:rsid w:val="006B76F1"/>
    <w:rsid w:val="006C755E"/>
    <w:rsid w:val="006D6427"/>
    <w:rsid w:val="00786DE6"/>
    <w:rsid w:val="007A00FB"/>
    <w:rsid w:val="007E298F"/>
    <w:rsid w:val="00830099"/>
    <w:rsid w:val="00856097"/>
    <w:rsid w:val="00856103"/>
    <w:rsid w:val="008934B3"/>
    <w:rsid w:val="008A1678"/>
    <w:rsid w:val="008B6D17"/>
    <w:rsid w:val="008E014C"/>
    <w:rsid w:val="008F18FA"/>
    <w:rsid w:val="008F7971"/>
    <w:rsid w:val="00910BB8"/>
    <w:rsid w:val="009332AD"/>
    <w:rsid w:val="00933FC6"/>
    <w:rsid w:val="00966C01"/>
    <w:rsid w:val="0098470F"/>
    <w:rsid w:val="009B516F"/>
    <w:rsid w:val="009C5CB5"/>
    <w:rsid w:val="009D08DF"/>
    <w:rsid w:val="009D2535"/>
    <w:rsid w:val="009D769B"/>
    <w:rsid w:val="009E63DF"/>
    <w:rsid w:val="009F5BCB"/>
    <w:rsid w:val="00A032E4"/>
    <w:rsid w:val="00A04E0C"/>
    <w:rsid w:val="00A10E0E"/>
    <w:rsid w:val="00A2353B"/>
    <w:rsid w:val="00A3280C"/>
    <w:rsid w:val="00A670A8"/>
    <w:rsid w:val="00A71711"/>
    <w:rsid w:val="00A742A4"/>
    <w:rsid w:val="00A91D4E"/>
    <w:rsid w:val="00AC17BC"/>
    <w:rsid w:val="00AE5E23"/>
    <w:rsid w:val="00AF0482"/>
    <w:rsid w:val="00B00FD5"/>
    <w:rsid w:val="00B14794"/>
    <w:rsid w:val="00B460D7"/>
    <w:rsid w:val="00B80A77"/>
    <w:rsid w:val="00B92BA2"/>
    <w:rsid w:val="00B9345D"/>
    <w:rsid w:val="00B95FD8"/>
    <w:rsid w:val="00B961E2"/>
    <w:rsid w:val="00BB2421"/>
    <w:rsid w:val="00BB2CA9"/>
    <w:rsid w:val="00BC7DF9"/>
    <w:rsid w:val="00BD6D92"/>
    <w:rsid w:val="00BE7C62"/>
    <w:rsid w:val="00C04291"/>
    <w:rsid w:val="00C30C9D"/>
    <w:rsid w:val="00C352B5"/>
    <w:rsid w:val="00C36154"/>
    <w:rsid w:val="00C3791F"/>
    <w:rsid w:val="00C43FB7"/>
    <w:rsid w:val="00C5155F"/>
    <w:rsid w:val="00C51D88"/>
    <w:rsid w:val="00C71F0F"/>
    <w:rsid w:val="00C761F1"/>
    <w:rsid w:val="00C960CA"/>
    <w:rsid w:val="00CA679E"/>
    <w:rsid w:val="00CB2E58"/>
    <w:rsid w:val="00CB439B"/>
    <w:rsid w:val="00CD2A45"/>
    <w:rsid w:val="00CD7635"/>
    <w:rsid w:val="00CE0312"/>
    <w:rsid w:val="00D13F50"/>
    <w:rsid w:val="00D164F7"/>
    <w:rsid w:val="00D36CA1"/>
    <w:rsid w:val="00D52E6C"/>
    <w:rsid w:val="00D637B5"/>
    <w:rsid w:val="00D64CD1"/>
    <w:rsid w:val="00DB5440"/>
    <w:rsid w:val="00DC25C4"/>
    <w:rsid w:val="00DE08C3"/>
    <w:rsid w:val="00DE649F"/>
    <w:rsid w:val="00DF17C6"/>
    <w:rsid w:val="00E115A3"/>
    <w:rsid w:val="00E2134F"/>
    <w:rsid w:val="00E432AA"/>
    <w:rsid w:val="00E45106"/>
    <w:rsid w:val="00E466DC"/>
    <w:rsid w:val="00E50F63"/>
    <w:rsid w:val="00E72401"/>
    <w:rsid w:val="00E80617"/>
    <w:rsid w:val="00E865F3"/>
    <w:rsid w:val="00E86D7C"/>
    <w:rsid w:val="00E9058C"/>
    <w:rsid w:val="00E93E51"/>
    <w:rsid w:val="00EA58AE"/>
    <w:rsid w:val="00EB0FE3"/>
    <w:rsid w:val="00EB7B01"/>
    <w:rsid w:val="00EC31B6"/>
    <w:rsid w:val="00EC7C40"/>
    <w:rsid w:val="00F05706"/>
    <w:rsid w:val="00F222B4"/>
    <w:rsid w:val="00F24E53"/>
    <w:rsid w:val="00F7266D"/>
    <w:rsid w:val="00FA5692"/>
    <w:rsid w:val="00FB4FCB"/>
    <w:rsid w:val="00FB7080"/>
    <w:rsid w:val="00FC6F14"/>
    <w:rsid w:val="00FC7A37"/>
    <w:rsid w:val="00FD3966"/>
    <w:rsid w:val="00FE6564"/>
    <w:rsid w:val="094A632D"/>
    <w:rsid w:val="0C0A5F66"/>
    <w:rsid w:val="0CE66975"/>
    <w:rsid w:val="0E594F1F"/>
    <w:rsid w:val="11AB4215"/>
    <w:rsid w:val="11FF61CA"/>
    <w:rsid w:val="12DF3C7E"/>
    <w:rsid w:val="14D872B1"/>
    <w:rsid w:val="159F06B2"/>
    <w:rsid w:val="17213CD4"/>
    <w:rsid w:val="17D158C7"/>
    <w:rsid w:val="18F725F2"/>
    <w:rsid w:val="18FA3DF1"/>
    <w:rsid w:val="1CDE127E"/>
    <w:rsid w:val="1E17258C"/>
    <w:rsid w:val="1EC6317B"/>
    <w:rsid w:val="1FAB11F5"/>
    <w:rsid w:val="210F3021"/>
    <w:rsid w:val="21DF7D80"/>
    <w:rsid w:val="23B56A8C"/>
    <w:rsid w:val="27780A6A"/>
    <w:rsid w:val="2EAB2900"/>
    <w:rsid w:val="34DC6462"/>
    <w:rsid w:val="401349E7"/>
    <w:rsid w:val="42D050EF"/>
    <w:rsid w:val="45F36D93"/>
    <w:rsid w:val="4B3137FC"/>
    <w:rsid w:val="4CAE5FD5"/>
    <w:rsid w:val="4ECF3DA7"/>
    <w:rsid w:val="50484239"/>
    <w:rsid w:val="56A003E5"/>
    <w:rsid w:val="57C41FA4"/>
    <w:rsid w:val="59F21BF5"/>
    <w:rsid w:val="5BE9421D"/>
    <w:rsid w:val="5E0855A8"/>
    <w:rsid w:val="6304252D"/>
    <w:rsid w:val="64197E9B"/>
    <w:rsid w:val="656E6A2B"/>
    <w:rsid w:val="666735D0"/>
    <w:rsid w:val="6C3B6730"/>
    <w:rsid w:val="706F0B5A"/>
    <w:rsid w:val="7356724F"/>
    <w:rsid w:val="75A823C0"/>
    <w:rsid w:val="77624FEA"/>
    <w:rsid w:val="78EB456C"/>
    <w:rsid w:val="7A211890"/>
    <w:rsid w:val="7DA067C3"/>
    <w:rsid w:val="7F43468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locked/>
    <w:uiPriority w:val="99"/>
    <w:rPr>
      <w:rFonts w:cs="Times New Roman"/>
      <w:b/>
      <w:bCs/>
    </w:rPr>
  </w:style>
  <w:style w:type="character" w:customStyle="1" w:styleId="7">
    <w:name w:val="页眉 Char"/>
    <w:basedOn w:val="5"/>
    <w:link w:val="3"/>
    <w:qFormat/>
    <w:locked/>
    <w:uiPriority w:val="99"/>
    <w:rPr>
      <w:rFonts w:ascii="Times New Roman" w:hAnsi="Times New Roman" w:eastAsia="宋体" w:cs="Times New Roman"/>
      <w:sz w:val="18"/>
      <w:szCs w:val="18"/>
    </w:rPr>
  </w:style>
  <w:style w:type="character" w:customStyle="1" w:styleId="8">
    <w:name w:val="页脚 Char"/>
    <w:basedOn w:val="5"/>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449</Words>
  <Characters>2562</Characters>
  <Lines>21</Lines>
  <Paragraphs>6</Paragraphs>
  <TotalTime>6</TotalTime>
  <ScaleCrop>false</ScaleCrop>
  <LinksUpToDate>false</LinksUpToDate>
  <CharactersWithSpaces>3005</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程晓红</cp:lastModifiedBy>
  <cp:lastPrinted>2019-12-24T08:31:00Z</cp:lastPrinted>
  <dcterms:modified xsi:type="dcterms:W3CDTF">2020-04-08T03:01:51Z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