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p>
    <w:p>
      <w:pPr>
        <w:pStyle w:val="2"/>
        <w:rPr>
          <w:rFonts w:ascii="Times New Roman"/>
          <w:sz w:val="20"/>
        </w:rPr>
      </w:pPr>
    </w:p>
    <w:p>
      <w:pPr>
        <w:pStyle w:val="2"/>
        <w:rPr>
          <w:rFonts w:ascii="Times New Roman"/>
          <w:sz w:val="20"/>
        </w:rPr>
      </w:pPr>
    </w:p>
    <w:p>
      <w:pPr>
        <w:spacing w:before="222"/>
        <w:ind w:left="3392"/>
        <w:rPr>
          <w:rFonts w:hint="eastAsia" w:ascii="宋体" w:eastAsia="宋体"/>
          <w:color w:val="231F20"/>
          <w:sz w:val="32"/>
        </w:rPr>
      </w:pPr>
      <w:r>
        <w:rPr>
          <w:rFonts w:hint="eastAsia" w:ascii="宋体" w:eastAsia="宋体"/>
          <w:color w:val="231F20"/>
          <w:sz w:val="32"/>
        </w:rPr>
        <w:t>新疆银行人民币个人理财产品说明书</w:t>
      </w:r>
    </w:p>
    <w:p>
      <w:pPr>
        <w:spacing w:line="360" w:lineRule="exact"/>
        <w:jc w:val="center"/>
        <w:rPr>
          <w:rFonts w:hint="eastAsia" w:ascii="宋体" w:eastAsia="宋体"/>
          <w:color w:val="231F20"/>
          <w:sz w:val="32"/>
        </w:rPr>
      </w:pPr>
      <w:r>
        <w:rPr>
          <w:rStyle w:val="8"/>
          <w:rFonts w:hint="eastAsia" w:ascii="宋体" w:hAnsi="宋体" w:cs="宋体"/>
          <w:kern w:val="0"/>
          <w:sz w:val="18"/>
          <w:szCs w:val="18"/>
        </w:rPr>
        <w:t>理财产品过往业绩不代表其未来表现，不等于理财产品实际收益</w:t>
      </w:r>
      <w:r>
        <w:rPr>
          <w:rStyle w:val="8"/>
          <w:rFonts w:cs="宋体"/>
          <w:bCs w:val="0"/>
          <w:sz w:val="18"/>
          <w:szCs w:val="18"/>
        </w:rPr>
        <w:t xml:space="preserve"> </w:t>
      </w:r>
    </w:p>
    <w:p>
      <w:pPr>
        <w:pStyle w:val="2"/>
        <w:spacing w:before="36" w:line="247" w:lineRule="exact"/>
        <w:ind w:left="5517"/>
      </w:pPr>
      <w:r>
        <w:t>特别风险提示</w:t>
      </w:r>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rPr>
          <w:rFonts w:ascii="宋体" w:eastAsia="宋体"/>
        </w:rPr>
      </w:pPr>
      <w:r>
        <w:rPr>
          <w:rFonts w:hint="eastAsia" w:ascii="宋体" w:eastAsia="宋体"/>
          <w:color w:val="231F20"/>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产品名称</w:t>
            </w:r>
          </w:p>
        </w:tc>
        <w:tc>
          <w:tcPr>
            <w:tcW w:w="8972" w:type="dxa"/>
          </w:tcPr>
          <w:p>
            <w:pPr>
              <w:pStyle w:val="11"/>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61</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产品登记编码</w:t>
            </w:r>
          </w:p>
        </w:tc>
        <w:tc>
          <w:tcPr>
            <w:tcW w:w="8972" w:type="dxa"/>
          </w:tcPr>
          <w:p>
            <w:pPr>
              <w:pStyle w:val="11"/>
              <w:rPr>
                <w:sz w:val="18"/>
                <w:lang w:val="en-US"/>
              </w:rPr>
            </w:pPr>
            <w:r>
              <w:rPr>
                <w:rFonts w:hint="eastAsia" w:eastAsia="宋体"/>
                <w:color w:val="231F20"/>
                <w:sz w:val="18"/>
                <w:u w:color="auto"/>
                <w:lang w:val="en-US" w:eastAsia="zh-CN"/>
              </w:rPr>
              <w:t xml:space="preserve">  </w:t>
            </w:r>
            <w:r>
              <w:rPr>
                <w:color w:val="231F20"/>
                <w:sz w:val="18"/>
              </w:rPr>
              <w:t xml:space="preserve">C1364320000016 </w:t>
            </w:r>
            <w:r>
              <w:rPr>
                <w:rFonts w:hint="eastAsia"/>
                <w:color w:val="231F20"/>
                <w:sz w:val="18"/>
                <w:lang w:val="en-US" w:eastAsia="zh-CN"/>
              </w:rPr>
              <w:t xml:space="preserve">  </w:t>
            </w:r>
            <w:r>
              <w:rPr>
                <w:rFonts w:hint="eastAsia" w:eastAsia="宋体"/>
                <w:color w:val="231F20"/>
                <w:sz w:val="18"/>
                <w:u w:color="auto"/>
                <w:lang w:val="en-US" w:eastAsia="zh-CN"/>
              </w:rPr>
              <w:t xml:space="preserve">    </w:t>
            </w:r>
            <w:r>
              <w:rPr>
                <w:rFonts w:hint="eastAsia" w:eastAsia="宋体"/>
                <w:color w:val="231F20"/>
                <w:sz w:val="18"/>
                <w:u w:color="auto"/>
                <w:lang w:val="en-US"/>
              </w:rPr>
              <w:t>(</w:t>
            </w:r>
            <w:r>
              <w:rPr>
                <w:color w:val="231F20"/>
                <w:sz w:val="18"/>
              </w:rPr>
              <w:t>您可依据该信息在中国理财网</w:t>
            </w:r>
            <w:r>
              <w:fldChar w:fldCharType="begin"/>
            </w:r>
            <w:r>
              <w:instrText xml:space="preserve"> HYPERLINK "http://www.chinawealth.com.cn/" \h </w:instrText>
            </w:r>
            <w:r>
              <w:fldChar w:fldCharType="separate"/>
            </w:r>
            <w:r>
              <w:rPr>
                <w:color w:val="004FA3"/>
                <w:sz w:val="18"/>
                <w:u w:val="single" w:color="004FA3"/>
                <w:lang w:val="en-US"/>
              </w:rPr>
              <w:t>www.chinawealth.com.cn</w:t>
            </w:r>
            <w:r>
              <w:rPr>
                <w:color w:val="004FA3"/>
                <w:sz w:val="18"/>
                <w:u w:val="single" w:color="004FA3"/>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产品类型</w:t>
            </w:r>
          </w:p>
        </w:tc>
        <w:tc>
          <w:tcPr>
            <w:tcW w:w="8972" w:type="dxa"/>
          </w:tcPr>
          <w:p>
            <w:pPr>
              <w:pStyle w:val="11"/>
              <w:ind w:left="107"/>
              <w:rPr>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产品流动性</w:t>
            </w:r>
          </w:p>
        </w:tc>
        <w:tc>
          <w:tcPr>
            <w:tcW w:w="8972" w:type="dxa"/>
          </w:tcPr>
          <w:p>
            <w:pPr>
              <w:pStyle w:val="11"/>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投资及收益币种</w:t>
            </w:r>
          </w:p>
        </w:tc>
        <w:tc>
          <w:tcPr>
            <w:tcW w:w="8972" w:type="dxa"/>
          </w:tcPr>
          <w:p>
            <w:pPr>
              <w:pStyle w:val="11"/>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产品期限</w:t>
            </w:r>
          </w:p>
        </w:tc>
        <w:tc>
          <w:tcPr>
            <w:tcW w:w="8972" w:type="dxa"/>
          </w:tcPr>
          <w:p>
            <w:pPr>
              <w:pStyle w:val="11"/>
              <w:tabs>
                <w:tab w:val="left" w:pos="715"/>
              </w:tabs>
              <w:ind w:left="48"/>
              <w:rPr>
                <w:sz w:val="18"/>
              </w:rPr>
            </w:pPr>
            <w:r>
              <w:rPr>
                <w:color w:val="231F20"/>
                <w:sz w:val="18"/>
              </w:rPr>
              <w:t>【</w:t>
            </w:r>
            <w:r>
              <w:rPr>
                <w:rFonts w:hint="eastAsia" w:eastAsia="宋体"/>
                <w:color w:val="231F20"/>
                <w:sz w:val="18"/>
                <w:lang w:val="en-US" w:eastAsia="zh-CN"/>
              </w:rPr>
              <w:t>151</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募集规模</w:t>
            </w:r>
          </w:p>
        </w:tc>
        <w:tc>
          <w:tcPr>
            <w:tcW w:w="8972" w:type="dxa"/>
          </w:tcPr>
          <w:p>
            <w:pPr>
              <w:pStyle w:val="11"/>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20</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内部风险评级</w:t>
            </w:r>
          </w:p>
        </w:tc>
        <w:tc>
          <w:tcPr>
            <w:tcW w:w="8972" w:type="dxa"/>
          </w:tcPr>
          <w:p>
            <w:pPr>
              <w:pStyle w:val="11"/>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适合客户类型</w:t>
            </w:r>
          </w:p>
        </w:tc>
        <w:tc>
          <w:tcPr>
            <w:tcW w:w="8972" w:type="dxa"/>
          </w:tcPr>
          <w:p>
            <w:pPr>
              <w:pStyle w:val="11"/>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提前终止权</w:t>
            </w:r>
          </w:p>
        </w:tc>
        <w:tc>
          <w:tcPr>
            <w:tcW w:w="8972" w:type="dxa"/>
          </w:tcPr>
          <w:p>
            <w:pPr>
              <w:pStyle w:val="11"/>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1"/>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531" w:type="dxa"/>
          </w:tcPr>
          <w:p>
            <w:pPr>
              <w:pStyle w:val="11"/>
              <w:spacing w:before="4"/>
              <w:ind w:left="0"/>
              <w:rPr>
                <w:rFonts w:ascii="宋体"/>
                <w:sz w:val="17"/>
              </w:rPr>
            </w:pPr>
          </w:p>
          <w:p>
            <w:pPr>
              <w:pStyle w:val="11"/>
              <w:spacing w:before="0"/>
              <w:ind w:right="106"/>
              <w:jc w:val="center"/>
              <w:rPr>
                <w:sz w:val="18"/>
              </w:rPr>
            </w:pPr>
            <w:r>
              <w:rPr>
                <w:color w:val="231F20"/>
                <w:sz w:val="18"/>
              </w:rPr>
              <w:t>募集期</w:t>
            </w:r>
          </w:p>
        </w:tc>
        <w:tc>
          <w:tcPr>
            <w:tcW w:w="8972" w:type="dxa"/>
          </w:tcPr>
          <w:p>
            <w:pPr>
              <w:pStyle w:val="11"/>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04</w:t>
            </w:r>
            <w:r>
              <w:rPr>
                <w:color w:val="231F20"/>
                <w:spacing w:val="-15"/>
                <w:sz w:val="18"/>
              </w:rPr>
              <w:t>】月【</w:t>
            </w:r>
            <w:r>
              <w:rPr>
                <w:rFonts w:hint="eastAsia" w:eastAsia="宋体"/>
                <w:color w:val="231F20"/>
                <w:spacing w:val="-15"/>
                <w:sz w:val="18"/>
                <w:lang w:val="en-US" w:eastAsia="zh-CN"/>
              </w:rPr>
              <w:t xml:space="preserve"> 16 </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04</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23</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成立日</w:t>
            </w:r>
          </w:p>
        </w:tc>
        <w:tc>
          <w:tcPr>
            <w:tcW w:w="8972" w:type="dxa"/>
          </w:tcPr>
          <w:p>
            <w:pPr>
              <w:pStyle w:val="11"/>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04</w:t>
            </w:r>
            <w:r>
              <w:rPr>
                <w:color w:val="231F20"/>
                <w:spacing w:val="-22"/>
                <w:sz w:val="18"/>
              </w:rPr>
              <w:t>】月【</w:t>
            </w:r>
            <w:r>
              <w:rPr>
                <w:rFonts w:hint="eastAsia" w:eastAsia="宋体"/>
                <w:color w:val="231F20"/>
                <w:spacing w:val="-22"/>
                <w:sz w:val="18"/>
                <w:lang w:val="en-US" w:eastAsia="zh-CN"/>
              </w:rPr>
              <w:t>24</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到期日</w:t>
            </w:r>
          </w:p>
        </w:tc>
        <w:tc>
          <w:tcPr>
            <w:tcW w:w="8972" w:type="dxa"/>
          </w:tcPr>
          <w:p>
            <w:pPr>
              <w:pStyle w:val="11"/>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09</w:t>
            </w:r>
            <w:r>
              <w:rPr>
                <w:color w:val="231F20"/>
                <w:spacing w:val="-60"/>
                <w:sz w:val="18"/>
              </w:rPr>
              <w:t>】月</w:t>
            </w:r>
            <w:r>
              <w:rPr>
                <w:color w:val="231F20"/>
                <w:sz w:val="18"/>
              </w:rPr>
              <w:t>【</w:t>
            </w:r>
            <w:r>
              <w:rPr>
                <w:rFonts w:hint="eastAsia" w:eastAsiaTheme="minorEastAsia"/>
                <w:color w:val="231F20"/>
                <w:sz w:val="18"/>
                <w:lang w:val="en-US" w:eastAsia="zh-CN"/>
              </w:rPr>
              <w:t>22</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1"/>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兑付日</w:t>
            </w:r>
          </w:p>
        </w:tc>
        <w:tc>
          <w:tcPr>
            <w:tcW w:w="8972" w:type="dxa"/>
          </w:tcPr>
          <w:p>
            <w:pPr>
              <w:pStyle w:val="11"/>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09</w:t>
            </w:r>
            <w:r>
              <w:rPr>
                <w:color w:val="231F20"/>
                <w:spacing w:val="-60"/>
                <w:sz w:val="18"/>
              </w:rPr>
              <w:t>】月</w:t>
            </w:r>
            <w:r>
              <w:rPr>
                <w:color w:val="231F20"/>
                <w:sz w:val="18"/>
              </w:rPr>
              <w:t>【</w:t>
            </w:r>
            <w:r>
              <w:rPr>
                <w:rFonts w:hint="eastAsia" w:eastAsia="宋体"/>
                <w:color w:val="231F20"/>
                <w:sz w:val="18"/>
                <w:lang w:val="en-US" w:eastAsia="zh-CN"/>
              </w:rPr>
              <w:t>22</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531" w:type="dxa"/>
          </w:tcPr>
          <w:p>
            <w:pPr>
              <w:pStyle w:val="11"/>
              <w:spacing w:before="0"/>
              <w:ind w:left="0"/>
              <w:rPr>
                <w:rFonts w:ascii="宋体"/>
                <w:sz w:val="20"/>
              </w:rPr>
            </w:pPr>
          </w:p>
          <w:p>
            <w:pPr>
              <w:pStyle w:val="11"/>
              <w:spacing w:before="1"/>
              <w:ind w:left="0"/>
              <w:rPr>
                <w:rFonts w:ascii="宋体"/>
                <w:sz w:val="21"/>
              </w:rPr>
            </w:pPr>
          </w:p>
          <w:p>
            <w:pPr>
              <w:pStyle w:val="11"/>
              <w:spacing w:before="0" w:line="227" w:lineRule="exact"/>
              <w:ind w:right="106"/>
              <w:jc w:val="center"/>
              <w:rPr>
                <w:sz w:val="18"/>
              </w:rPr>
            </w:pPr>
            <w:r>
              <w:rPr>
                <w:color w:val="231F20"/>
                <w:sz w:val="18"/>
              </w:rPr>
              <w:t>银行管理费率</w:t>
            </w:r>
          </w:p>
          <w:p>
            <w:pPr>
              <w:pStyle w:val="11"/>
              <w:spacing w:before="0" w:line="227" w:lineRule="exact"/>
              <w:ind w:right="106"/>
              <w:jc w:val="center"/>
              <w:rPr>
                <w:sz w:val="18"/>
              </w:rPr>
            </w:pPr>
            <w:r>
              <w:rPr>
                <w:color w:val="231F20"/>
                <w:sz w:val="18"/>
              </w:rPr>
              <w:t>（年）</w:t>
            </w:r>
          </w:p>
        </w:tc>
        <w:tc>
          <w:tcPr>
            <w:tcW w:w="8972" w:type="dxa"/>
          </w:tcPr>
          <w:p>
            <w:pPr>
              <w:pStyle w:val="11"/>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1"/>
              <w:spacing w:before="0" w:line="192" w:lineRule="exact"/>
              <w:ind w:left="107"/>
              <w:rPr>
                <w:sz w:val="18"/>
              </w:rPr>
            </w:pPr>
            <w:r>
              <w:rPr>
                <w:color w:val="231F20"/>
                <w:w w:val="105"/>
                <w:sz w:val="18"/>
              </w:rPr>
              <w:t>产品托管费：根据理财本金，按日计算，在产品到期兑付时一次性收取，托管费年化费率为【0.01】%。</w:t>
            </w:r>
          </w:p>
          <w:p>
            <w:pPr>
              <w:pStyle w:val="11"/>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1"/>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0"/>
              <w:ind w:left="0"/>
              <w:rPr>
                <w:rFonts w:ascii="宋体"/>
                <w:sz w:val="20"/>
              </w:rPr>
            </w:pPr>
          </w:p>
          <w:p>
            <w:pPr>
              <w:pStyle w:val="11"/>
              <w:spacing w:before="0" w:line="194" w:lineRule="auto"/>
              <w:ind w:left="405" w:right="123" w:hanging="270"/>
              <w:rPr>
                <w:sz w:val="18"/>
              </w:rPr>
            </w:pPr>
            <w:r>
              <w:rPr>
                <w:color w:val="231F20"/>
                <w:sz w:val="18"/>
              </w:rPr>
              <w:t>理财产品参考年化收益率</w:t>
            </w:r>
          </w:p>
        </w:tc>
        <w:tc>
          <w:tcPr>
            <w:tcW w:w="8972" w:type="dxa"/>
          </w:tcPr>
          <w:p>
            <w:pPr>
              <w:pStyle w:val="11"/>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4.25</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认购起点金额</w:t>
            </w:r>
          </w:p>
        </w:tc>
        <w:tc>
          <w:tcPr>
            <w:tcW w:w="8972" w:type="dxa"/>
          </w:tcPr>
          <w:p>
            <w:pPr>
              <w:pStyle w:val="11"/>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最小起息金额</w:t>
            </w:r>
          </w:p>
        </w:tc>
        <w:tc>
          <w:tcPr>
            <w:tcW w:w="8972" w:type="dxa"/>
          </w:tcPr>
          <w:p>
            <w:pPr>
              <w:pStyle w:val="11"/>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1"/>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bookmarkStart w:id="0" w:name="_GoBack"/>
      <w:bookmarkEnd w:id="0"/>
    </w:p>
    <w:p>
      <w:pPr>
        <w:pStyle w:val="2"/>
        <w:rPr>
          <w:rFonts w:ascii="宋体"/>
          <w:sz w:val="20"/>
        </w:rPr>
      </w:pPr>
    </w:p>
    <w:p>
      <w:pPr>
        <w:pStyle w:val="2"/>
        <w:spacing w:before="5"/>
        <w:rPr>
          <w:rFonts w:ascii="宋体"/>
          <w:sz w:val="10"/>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rFonts w:ascii="宋体" w:eastAsia="宋体"/>
                <w:sz w:val="18"/>
              </w:rPr>
            </w:pPr>
            <w:r>
              <w:rPr>
                <w:rFonts w:hint="eastAsia" w:ascii="宋体" w:eastAsia="宋体"/>
                <w:color w:val="231F20"/>
                <w:sz w:val="18"/>
              </w:rPr>
              <w:t>收益支付频率</w:t>
            </w:r>
          </w:p>
        </w:tc>
        <w:tc>
          <w:tcPr>
            <w:tcW w:w="8972" w:type="dxa"/>
          </w:tcPr>
          <w:p>
            <w:pPr>
              <w:pStyle w:val="11"/>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延期支付权</w:t>
            </w:r>
          </w:p>
        </w:tc>
        <w:tc>
          <w:tcPr>
            <w:tcW w:w="8972" w:type="dxa"/>
          </w:tcPr>
          <w:p>
            <w:pPr>
              <w:pStyle w:val="11"/>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工作日</w:t>
            </w:r>
          </w:p>
        </w:tc>
        <w:tc>
          <w:tcPr>
            <w:tcW w:w="8972" w:type="dxa"/>
          </w:tcPr>
          <w:p>
            <w:pPr>
              <w:pStyle w:val="11"/>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1"/>
              <w:spacing w:before="10"/>
              <w:ind w:left="0"/>
              <w:rPr>
                <w:rFonts w:ascii="宋体"/>
                <w:sz w:val="17"/>
              </w:rPr>
            </w:pPr>
          </w:p>
          <w:p>
            <w:pPr>
              <w:pStyle w:val="11"/>
              <w:spacing w:before="0"/>
              <w:ind w:right="106"/>
              <w:jc w:val="center"/>
              <w:rPr>
                <w:sz w:val="18"/>
              </w:rPr>
            </w:pPr>
            <w:r>
              <w:rPr>
                <w:color w:val="231F20"/>
                <w:sz w:val="18"/>
              </w:rPr>
              <w:t>收益计算方法</w:t>
            </w:r>
          </w:p>
        </w:tc>
        <w:tc>
          <w:tcPr>
            <w:tcW w:w="8972" w:type="dxa"/>
          </w:tcPr>
          <w:p>
            <w:pPr>
              <w:pStyle w:val="11"/>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1"/>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1"/>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对账单</w:t>
            </w:r>
          </w:p>
        </w:tc>
        <w:tc>
          <w:tcPr>
            <w:tcW w:w="8972" w:type="dxa"/>
          </w:tcPr>
          <w:p>
            <w:pPr>
              <w:pStyle w:val="11"/>
              <w:spacing w:before="41" w:line="204" w:lineRule="exact"/>
              <w:ind w:left="56" w:right="152"/>
              <w:rPr>
                <w:sz w:val="18"/>
              </w:rPr>
            </w:pPr>
            <w:r>
              <w:rPr>
                <w:color w:val="231F20"/>
                <w:spacing w:val="-3"/>
                <w:sz w:val="18"/>
              </w:rPr>
              <w:t>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w:t>
            </w:r>
            <w:r>
              <w:rPr>
                <w:rFonts w:hint="eastAsia" w:eastAsia="宋体"/>
                <w:color w:val="231F20"/>
                <w:spacing w:val="-10"/>
                <w:sz w:val="18"/>
                <w:lang w:eastAsia="zh-CN"/>
              </w:rPr>
              <w:t>或</w:t>
            </w:r>
            <w:r>
              <w:rPr>
                <w:color w:val="231F20"/>
                <w:spacing w:val="-10"/>
                <w:sz w:val="18"/>
              </w:rPr>
              <w:t>相关</w:t>
            </w:r>
            <w:r>
              <w:rPr>
                <w:rFonts w:hint="eastAsia" w:eastAsia="宋体"/>
                <w:color w:val="231F20"/>
                <w:spacing w:val="-10"/>
                <w:sz w:val="18"/>
                <w:lang w:eastAsia="zh-CN"/>
              </w:rPr>
              <w:t>电子渠道及</w:t>
            </w:r>
            <w:r>
              <w:rPr>
                <w:color w:val="231F20"/>
                <w:spacing w:val="-10"/>
                <w:sz w:val="18"/>
              </w:rPr>
              <w:t>营业网点及时了解</w:t>
            </w:r>
            <w:r>
              <w:rPr>
                <w:rFonts w:hint="eastAsia" w:eastAsia="宋体"/>
                <w:color w:val="231F20"/>
                <w:spacing w:val="-10"/>
                <w:sz w:val="18"/>
                <w:lang w:eastAsia="zh-CN"/>
              </w:rPr>
              <w:t>产品</w:t>
            </w:r>
            <w:r>
              <w:rPr>
                <w:color w:val="231F20"/>
                <w:spacing w:val="-10"/>
                <w:sz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1"/>
              <w:spacing w:before="0"/>
              <w:ind w:left="0"/>
              <w:rPr>
                <w:rFonts w:ascii="宋体"/>
                <w:sz w:val="20"/>
              </w:rPr>
            </w:pPr>
          </w:p>
          <w:p>
            <w:pPr>
              <w:pStyle w:val="11"/>
              <w:spacing w:before="139"/>
              <w:ind w:right="106"/>
              <w:jc w:val="center"/>
              <w:rPr>
                <w:sz w:val="18"/>
              </w:rPr>
            </w:pPr>
            <w:r>
              <w:rPr>
                <w:color w:val="231F20"/>
                <w:sz w:val="18"/>
              </w:rPr>
              <w:t>税款</w:t>
            </w:r>
          </w:p>
        </w:tc>
        <w:tc>
          <w:tcPr>
            <w:tcW w:w="8972" w:type="dxa"/>
          </w:tcPr>
          <w:p>
            <w:pPr>
              <w:pStyle w:val="11"/>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其他规定</w:t>
            </w:r>
          </w:p>
        </w:tc>
        <w:tc>
          <w:tcPr>
            <w:tcW w:w="8972" w:type="dxa"/>
          </w:tcPr>
          <w:p>
            <w:pPr>
              <w:pStyle w:val="11"/>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1"/>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1"/>
              <w:spacing w:before="0" w:line="214" w:lineRule="exact"/>
              <w:ind w:left="56"/>
              <w:jc w:val="left"/>
              <w:rPr>
                <w:rFonts w:hint="eastAsia"/>
                <w:color w:val="231F20"/>
                <w:spacing w:val="-10"/>
                <w:sz w:val="18"/>
                <w:lang w:eastAsia="zh-CN"/>
              </w:rPr>
            </w:pPr>
          </w:p>
          <w:p>
            <w:pPr>
              <w:pStyle w:val="11"/>
              <w:spacing w:before="0" w:line="214" w:lineRule="exact"/>
              <w:jc w:val="left"/>
              <w:rPr>
                <w:rFonts w:hint="eastAsia" w:eastAsia="宋体"/>
                <w:color w:val="231F20"/>
                <w:sz w:val="18"/>
                <w:lang w:eastAsia="zh-CN"/>
              </w:rPr>
            </w:pPr>
            <w:r>
              <w:rPr>
                <w:rFonts w:hint="eastAsia" w:eastAsia="宋体"/>
                <w:color w:val="231F20"/>
                <w:sz w:val="18"/>
                <w:lang w:eastAsia="zh-CN"/>
              </w:rPr>
              <w:t>宁波银行股份有限公司</w:t>
            </w:r>
          </w:p>
        </w:tc>
      </w:tr>
    </w:tbl>
    <w:p>
      <w:pPr>
        <w:pStyle w:val="2"/>
        <w:spacing w:before="73" w:line="247" w:lineRule="exact"/>
        <w:ind w:left="1040"/>
      </w:pPr>
      <w:r>
        <w:rPr>
          <w:color w:val="231F20"/>
        </w:rPr>
        <w:t>二、投资范围</w:t>
      </w:r>
    </w:p>
    <w:p>
      <w:pPr>
        <w:pStyle w:val="2"/>
        <w:spacing w:line="243" w:lineRule="exact"/>
        <w:ind w:left="1040"/>
      </w:pPr>
      <w:r>
        <w:rPr>
          <w:color w:val="231F20"/>
        </w:rPr>
        <w:t>1、投资范围</w:t>
      </w:r>
    </w:p>
    <w:p>
      <w:pPr>
        <w:pStyle w:val="10"/>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10"/>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rFonts w:hint="eastAsia" w:eastAsia="宋体"/>
          <w:color w:val="231F20"/>
          <w:spacing w:val="-9"/>
          <w:lang w:val="en-US" w:eastAsia="zh-CN"/>
        </w:rPr>
        <w:t>80</w:t>
      </w:r>
      <w:r>
        <w:rPr>
          <w:color w:val="231F20"/>
          <w:spacing w:val="-1"/>
          <w:w w:val="126"/>
        </w:rPr>
        <w:t>%-</w:t>
      </w:r>
      <w:r>
        <w:rPr>
          <w:rFonts w:hint="eastAsia" w:eastAsia="宋体"/>
          <w:color w:val="231F20"/>
          <w:spacing w:val="-1"/>
          <w:w w:val="126"/>
          <w:lang w:val="en-US" w:eastAsia="zh-CN"/>
        </w:rPr>
        <w:t>100</w:t>
      </w:r>
      <w:r>
        <w:rPr>
          <w:color w:val="231F20"/>
          <w:w w:val="91"/>
        </w:rPr>
        <w:t>%</w:t>
      </w:r>
      <w:r>
        <w:rPr>
          <w:color w:val="231F20"/>
          <w:spacing w:val="-10"/>
        </w:rPr>
        <w:t>，非标准化债券资产和其他类资产投资比例不超过</w:t>
      </w:r>
      <w:r>
        <w:rPr>
          <w:rFonts w:hint="eastAsia" w:eastAsia="宋体"/>
          <w:color w:val="231F20"/>
          <w:spacing w:val="-10"/>
          <w:lang w:val="en-US" w:eastAsia="zh-CN"/>
        </w:rPr>
        <w:t>20</w:t>
      </w:r>
      <w:r>
        <w:rPr>
          <w:color w:val="231F20"/>
          <w:w w:val="91"/>
        </w:rPr>
        <w:t>%</w:t>
      </w:r>
      <w:r>
        <w:rPr>
          <w:color w:val="231F20"/>
        </w:rPr>
        <w:t>。</w:t>
      </w:r>
    </w:p>
    <w:p>
      <w:pPr>
        <w:pStyle w:val="2"/>
        <w:spacing w:before="1" w:line="232" w:lineRule="auto"/>
        <w:ind w:left="680" w:right="678" w:firstLine="360"/>
        <w:jc w:val="both"/>
      </w:pP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C4762F4"/>
    <w:rsid w:val="10E8677F"/>
    <w:rsid w:val="1164216E"/>
    <w:rsid w:val="11BB4CCC"/>
    <w:rsid w:val="13520601"/>
    <w:rsid w:val="138C4499"/>
    <w:rsid w:val="142C707E"/>
    <w:rsid w:val="199B0AF0"/>
    <w:rsid w:val="1B682577"/>
    <w:rsid w:val="22744FD3"/>
    <w:rsid w:val="24C418A7"/>
    <w:rsid w:val="258339B3"/>
    <w:rsid w:val="25FD3B64"/>
    <w:rsid w:val="26657173"/>
    <w:rsid w:val="26960E90"/>
    <w:rsid w:val="26EB7036"/>
    <w:rsid w:val="27BC5091"/>
    <w:rsid w:val="28EC5ECC"/>
    <w:rsid w:val="29334ACF"/>
    <w:rsid w:val="296B2AA5"/>
    <w:rsid w:val="316C7266"/>
    <w:rsid w:val="323672E0"/>
    <w:rsid w:val="3618222D"/>
    <w:rsid w:val="36CB4CF1"/>
    <w:rsid w:val="37905CF9"/>
    <w:rsid w:val="41967E72"/>
    <w:rsid w:val="41A6132D"/>
    <w:rsid w:val="42BA266A"/>
    <w:rsid w:val="44C82C0E"/>
    <w:rsid w:val="467A2C14"/>
    <w:rsid w:val="47BF4CED"/>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CA3C2E"/>
    <w:rsid w:val="52B81837"/>
    <w:rsid w:val="54AC4A7F"/>
    <w:rsid w:val="557B60F2"/>
    <w:rsid w:val="576F1919"/>
    <w:rsid w:val="57847D07"/>
    <w:rsid w:val="58062916"/>
    <w:rsid w:val="58D85396"/>
    <w:rsid w:val="592A18ED"/>
    <w:rsid w:val="592B34DE"/>
    <w:rsid w:val="5A3E4947"/>
    <w:rsid w:val="5BD419BC"/>
    <w:rsid w:val="5BEE67A6"/>
    <w:rsid w:val="5CA05FAF"/>
    <w:rsid w:val="5E4E7F1D"/>
    <w:rsid w:val="63D849CE"/>
    <w:rsid w:val="65FC35D8"/>
    <w:rsid w:val="660D3A8F"/>
    <w:rsid w:val="6625177D"/>
    <w:rsid w:val="665562A1"/>
    <w:rsid w:val="67DD7C24"/>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E327B55"/>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Layout w:type="fixed"/>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803</Words>
  <Characters>4582</Characters>
  <Lines>38</Lines>
  <Paragraphs>10</Paragraphs>
  <TotalTime>0</TotalTime>
  <ScaleCrop>false</ScaleCrop>
  <LinksUpToDate>false</LinksUpToDate>
  <CharactersWithSpaces>5375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XJBANK</cp:lastModifiedBy>
  <cp:lastPrinted>2019-11-06T03:12:00Z</cp:lastPrinted>
  <dcterms:modified xsi:type="dcterms:W3CDTF">2020-03-31T05:21:35Z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2052-11.1.0.8980</vt:lpwstr>
  </property>
</Properties>
</file>