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ascii="方正大黑简体" w:eastAsia="方正大黑简体"/>
          <w:sz w:val="32"/>
          <w:szCs w:val="32"/>
        </w:rPr>
      </w:pPr>
      <w:bookmarkStart w:id="0" w:name="_GoBack"/>
      <w:bookmarkEnd w:id="0"/>
      <w:r>
        <w:rPr>
          <w:rStyle w:val="6"/>
          <w:rFonts w:hint="eastAsia" w:ascii="方正大黑简体" w:hAnsi="宋体" w:eastAsia="方正大黑简体" w:cs="宋体"/>
          <w:kern w:val="0"/>
          <w:sz w:val="32"/>
          <w:szCs w:val="32"/>
        </w:rPr>
        <w:t>客户权益须知</w:t>
      </w:r>
    </w:p>
    <w:p>
      <w:pPr>
        <w:widowControl/>
        <w:jc w:val="left"/>
      </w:pPr>
      <w:r>
        <w:rPr>
          <w:rFonts w:hint="eastAsia" w:ascii="宋体" w:hAnsi="宋体" w:cs="宋体"/>
          <w:kern w:val="0"/>
          <w:sz w:val="18"/>
          <w:szCs w:val="18"/>
        </w:rPr>
        <w:t>尊敬的客户：</w:t>
      </w:r>
    </w:p>
    <w:p>
      <w:pPr>
        <w:widowControl/>
        <w:ind w:firstLine="360" w:firstLineChars="200"/>
        <w:jc w:val="left"/>
      </w:pPr>
      <w:r>
        <w:rPr>
          <w:rFonts w:hint="eastAsia" w:ascii="宋体" w:hAnsi="宋体" w:cs="宋体"/>
          <w:kern w:val="0"/>
          <w:sz w:val="18"/>
          <w:szCs w:val="18"/>
        </w:rPr>
        <w:t>感谢您购买新疆银行（“本行”）理财产品，请仔细阅读本《客户权益须知》，行使您在本业务项下的权益。</w:t>
      </w:r>
    </w:p>
    <w:p>
      <w:pPr>
        <w:widowControl/>
        <w:ind w:firstLine="361" w:firstLineChars="200"/>
        <w:jc w:val="left"/>
      </w:pPr>
      <w:r>
        <w:rPr>
          <w:rStyle w:val="6"/>
          <w:rFonts w:hint="eastAsia" w:ascii="宋体" w:hAnsi="宋体" w:cs="宋体"/>
          <w:kern w:val="0"/>
          <w:sz w:val="18"/>
          <w:szCs w:val="18"/>
        </w:rPr>
        <w:t>一、理财产品购买流程</w:t>
      </w:r>
    </w:p>
    <w:p>
      <w:pPr>
        <w:widowControl/>
        <w:ind w:firstLine="360" w:firstLineChars="200"/>
        <w:jc w:val="left"/>
      </w:pPr>
      <w:r>
        <w:rPr>
          <w:rFonts w:ascii="宋体" w:hAnsi="宋体" w:cs="宋体"/>
          <w:kern w:val="0"/>
          <w:sz w:val="18"/>
          <w:szCs w:val="18"/>
        </w:rPr>
        <w:t>1</w:t>
      </w:r>
      <w:r>
        <w:rPr>
          <w:rFonts w:hint="eastAsia" w:ascii="宋体" w:hAnsi="宋体" w:cs="宋体"/>
          <w:kern w:val="0"/>
          <w:sz w:val="18"/>
          <w:szCs w:val="18"/>
        </w:rPr>
        <w:t>、开立或持有新疆银行账户，该账户用于本理财产品的理财资金划转及兑付，您应确保持有本理财产品期间所指定账户不做销户。</w:t>
      </w:r>
    </w:p>
    <w:p>
      <w:pPr>
        <w:widowControl/>
        <w:ind w:firstLine="360" w:firstLineChars="200"/>
        <w:jc w:val="left"/>
      </w:pPr>
      <w:r>
        <w:rPr>
          <w:rFonts w:ascii="宋体" w:hAnsi="宋体" w:cs="宋体"/>
          <w:kern w:val="0"/>
          <w:sz w:val="18"/>
          <w:szCs w:val="18"/>
        </w:rPr>
        <w:t>2</w:t>
      </w:r>
      <w:r>
        <w:rPr>
          <w:rFonts w:hint="eastAsia" w:ascii="宋体" w:hAnsi="宋体" w:cs="宋体"/>
          <w:kern w:val="0"/>
          <w:sz w:val="18"/>
          <w:szCs w:val="18"/>
        </w:rPr>
        <w:t>、接受并完成本行对您的风险承受能力评估，并根据风险评估结果选择适合的产品。</w:t>
      </w:r>
    </w:p>
    <w:p>
      <w:pPr>
        <w:ind w:firstLine="360" w:firstLineChars="200"/>
        <w:rPr>
          <w:rFonts w:ascii="宋体" w:hAnsi="宋体" w:cs="宋体"/>
          <w:kern w:val="0"/>
          <w:sz w:val="18"/>
          <w:szCs w:val="18"/>
        </w:rPr>
      </w:pPr>
      <w:r>
        <w:rPr>
          <w:rFonts w:ascii="宋体" w:hAnsi="宋体" w:cs="宋体"/>
          <w:kern w:val="0"/>
          <w:sz w:val="18"/>
          <w:szCs w:val="18"/>
        </w:rPr>
        <w:t>3</w:t>
      </w:r>
      <w:r>
        <w:rPr>
          <w:rFonts w:hint="eastAsia" w:ascii="宋体" w:hAnsi="宋体" w:cs="宋体"/>
          <w:kern w:val="0"/>
          <w:sz w:val="18"/>
          <w:szCs w:val="18"/>
        </w:rPr>
        <w:t>、请仔细阅读《新疆银行金胡杨尊享理财产品协议书》、《新疆银行金胡杨尊享理财产品说明书》、《新疆银行金胡杨尊享理财产品风险揭示书》、《客户权益须知》以及其他有关文件（如有），确认已同意相关内容、充分了解相关风险并无疑问和异议后，签署相关销售文件，并办理购买手续。</w:t>
      </w:r>
    </w:p>
    <w:p>
      <w:pPr>
        <w:widowControl/>
        <w:ind w:firstLine="360" w:firstLineChars="200"/>
        <w:jc w:val="left"/>
      </w:pPr>
      <w:r>
        <w:rPr>
          <w:rFonts w:ascii="宋体" w:hAnsi="宋体" w:cs="宋体"/>
          <w:kern w:val="0"/>
          <w:sz w:val="18"/>
          <w:szCs w:val="18"/>
        </w:rPr>
        <w:t>4</w:t>
      </w:r>
      <w:r>
        <w:rPr>
          <w:rFonts w:hint="eastAsia" w:ascii="宋体" w:hAnsi="宋体" w:cs="宋体"/>
          <w:kern w:val="0"/>
          <w:sz w:val="18"/>
          <w:szCs w:val="18"/>
        </w:rPr>
        <w:t>、本行营业网点或者电子银行（包括但不限于网上银行、电话银行和手机银行）均可办理理财产品的购买手续，详见《产品说明书》，但是对于具体理财产品，本行将根据产品风险等级和市场情况自行确定发售渠道。</w:t>
      </w:r>
    </w:p>
    <w:p>
      <w:pPr>
        <w:widowControl/>
        <w:ind w:firstLine="361" w:firstLineChars="200"/>
        <w:jc w:val="left"/>
      </w:pPr>
      <w:r>
        <w:rPr>
          <w:rStyle w:val="6"/>
          <w:rFonts w:hint="eastAsia" w:ascii="宋体" w:hAnsi="宋体" w:cs="宋体"/>
          <w:kern w:val="0"/>
          <w:sz w:val="18"/>
          <w:szCs w:val="18"/>
        </w:rPr>
        <w:t>二、客户风险承受能力评估</w:t>
      </w:r>
    </w:p>
    <w:p>
      <w:pPr>
        <w:widowControl/>
        <w:ind w:firstLine="360" w:firstLineChars="200"/>
        <w:jc w:val="left"/>
        <w:rPr>
          <w:rStyle w:val="6"/>
          <w:rFonts w:hint="eastAsia" w:ascii="宋体" w:hAnsi="宋体" w:cs="宋体"/>
          <w:kern w:val="0"/>
          <w:sz w:val="18"/>
          <w:szCs w:val="18"/>
        </w:rPr>
      </w:pPr>
      <w:r>
        <w:rPr>
          <w:rFonts w:hint="eastAsia" w:ascii="宋体" w:hAnsi="宋体" w:cs="宋体"/>
          <w:kern w:val="0"/>
          <w:sz w:val="18"/>
          <w:szCs w:val="18"/>
        </w:rPr>
        <w:t>您首次购买本行理财产品前，需要在本行营业网点进行风险承受能力评估，填写《新疆银行个人客户风险承受能力评估问卷》，本行理财销售管理系统会记录客户身份信息及风险评估结果信息。该评估结果有效期一年，并将作为评价您是否适合购买理财产品的重要因素。您可以通过本行营业网点或网上银行进行风险承受能力持续评估。</w:t>
      </w:r>
      <w:r>
        <w:rPr>
          <w:rStyle w:val="6"/>
          <w:rFonts w:hint="eastAsia" w:ascii="宋体" w:hAnsi="宋体" w:cs="宋体"/>
          <w:kern w:val="0"/>
          <w:sz w:val="18"/>
          <w:szCs w:val="18"/>
        </w:rPr>
        <w:t>若发生可能影响您自身风险承受能力的情况，请您通过柜面或网上银行主动重新评估自身风险承受能力。</w:t>
      </w:r>
    </w:p>
    <w:p>
      <w:pPr>
        <w:widowControl/>
        <w:ind w:firstLine="360" w:firstLineChars="200"/>
        <w:jc w:val="left"/>
        <w:rPr>
          <w:rFonts w:hint="eastAsia" w:ascii="宋体" w:hAnsi="宋体"/>
          <w:sz w:val="18"/>
          <w:szCs w:val="18"/>
          <w:lang w:val="en-US" w:eastAsia="zh-CN"/>
        </w:rPr>
      </w:pPr>
      <w:r>
        <w:rPr>
          <w:rFonts w:hint="eastAsia" w:ascii="宋体" w:hAnsi="宋体"/>
          <w:sz w:val="18"/>
          <w:szCs w:val="18"/>
        </w:rPr>
        <w:t>本行客户风险承受能力评级从低到高包括</w:t>
      </w:r>
      <w:r>
        <w:rPr>
          <w:rFonts w:hint="eastAsia" w:ascii="宋体" w:hAnsi="宋体" w:cs="宋体"/>
          <w:kern w:val="0"/>
          <w:sz w:val="18"/>
          <w:szCs w:val="18"/>
        </w:rPr>
        <w:t>A1（保守型）、A2（稳健型）、A3（平衡型）、A4（成长型）、A5（进取型）五个等级，风险承受能力评级越高适合购买的理</w:t>
      </w:r>
      <w:r>
        <w:rPr>
          <w:rFonts w:hint="eastAsia" w:ascii="宋体" w:hAnsi="宋体"/>
          <w:sz w:val="18"/>
          <w:szCs w:val="18"/>
        </w:rPr>
        <w:t>财产品风险评级越高，适合购买的理财产品类型越丰富，客户风险承受能力风险评级类型与适合购买的理财产品的对应关系为</w:t>
      </w:r>
      <w:r>
        <w:rPr>
          <w:rFonts w:hint="eastAsia" w:ascii="宋体" w:hAnsi="宋体"/>
          <w:sz w:val="18"/>
          <w:szCs w:val="18"/>
          <w:lang w:val="en-US" w:eastAsia="zh-CN"/>
        </w:rPr>
        <w:t>;</w:t>
      </w:r>
    </w:p>
    <w:tbl>
      <w:tblPr>
        <w:tblStyle w:val="7"/>
        <w:tblW w:w="9143" w:type="dxa"/>
        <w:jc w:val="center"/>
        <w:tblInd w:w="491" w:type="dxa"/>
        <w:tblLayout w:type="fixed"/>
        <w:tblCellMar>
          <w:top w:w="15" w:type="dxa"/>
          <w:left w:w="108" w:type="dxa"/>
          <w:bottom w:w="15" w:type="dxa"/>
          <w:right w:w="108" w:type="dxa"/>
        </w:tblCellMar>
      </w:tblPr>
      <w:tblGrid>
        <w:gridCol w:w="951"/>
        <w:gridCol w:w="1005"/>
        <w:gridCol w:w="5130"/>
        <w:gridCol w:w="2057"/>
      </w:tblGrid>
      <w:tr>
        <w:tblPrEx>
          <w:tblLayout w:type="fixed"/>
          <w:tblCellMar>
            <w:top w:w="15" w:type="dxa"/>
            <w:left w:w="108" w:type="dxa"/>
            <w:bottom w:w="15" w:type="dxa"/>
            <w:right w:w="108" w:type="dxa"/>
          </w:tblCellMar>
        </w:tblPrEx>
        <w:trPr>
          <w:trHeight w:val="836" w:hRule="atLeast"/>
          <w:jc w:val="center"/>
        </w:trPr>
        <w:tc>
          <w:tcPr>
            <w:tcW w:w="951"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kern w:val="0"/>
                <w:sz w:val="18"/>
                <w:szCs w:val="18"/>
              </w:rPr>
            </w:pPr>
            <w:r>
              <w:rPr>
                <w:rFonts w:hint="eastAsia" w:ascii="宋体" w:hAnsi="宋体" w:cs="宋体"/>
                <w:kern w:val="0"/>
                <w:sz w:val="18"/>
                <w:szCs w:val="18"/>
              </w:rPr>
              <w:t>产品风险标识</w:t>
            </w:r>
          </w:p>
        </w:tc>
        <w:tc>
          <w:tcPr>
            <w:tcW w:w="100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s="宋体"/>
                <w:kern w:val="0"/>
                <w:sz w:val="18"/>
                <w:szCs w:val="18"/>
              </w:rPr>
            </w:pPr>
            <w:r>
              <w:rPr>
                <w:rFonts w:hint="eastAsia" w:ascii="宋体" w:hAnsi="宋体" w:cs="宋体"/>
                <w:kern w:val="0"/>
                <w:sz w:val="18"/>
                <w:szCs w:val="18"/>
              </w:rPr>
              <w:t>产品风险评级</w:t>
            </w:r>
          </w:p>
        </w:tc>
        <w:tc>
          <w:tcPr>
            <w:tcW w:w="5130" w:type="dxa"/>
            <w:tcBorders>
              <w:top w:val="single" w:color="000000" w:sz="4" w:space="0"/>
              <w:left w:val="single" w:color="000000" w:sz="4" w:space="0"/>
              <w:bottom w:val="single" w:color="000000" w:sz="4" w:space="0"/>
              <w:right w:val="single" w:color="000000" w:sz="4" w:space="0"/>
            </w:tcBorders>
            <w:vAlign w:val="center"/>
          </w:tcPr>
          <w:p>
            <w:pPr>
              <w:ind w:firstLine="360" w:firstLineChars="200"/>
              <w:jc w:val="center"/>
              <w:rPr>
                <w:rFonts w:hint="eastAsia" w:ascii="宋体" w:hAnsi="宋体" w:cs="宋体"/>
                <w:kern w:val="0"/>
                <w:sz w:val="18"/>
                <w:szCs w:val="18"/>
              </w:rPr>
            </w:pPr>
            <w:r>
              <w:rPr>
                <w:rFonts w:hint="eastAsia" w:ascii="宋体" w:hAnsi="宋体" w:cs="宋体"/>
                <w:kern w:val="0"/>
                <w:sz w:val="18"/>
                <w:szCs w:val="18"/>
              </w:rPr>
              <w:t>产品风险及收益特征描述</w:t>
            </w:r>
          </w:p>
        </w:tc>
        <w:tc>
          <w:tcPr>
            <w:tcW w:w="2057"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s="宋体"/>
                <w:kern w:val="0"/>
                <w:sz w:val="18"/>
                <w:szCs w:val="18"/>
              </w:rPr>
            </w:pPr>
            <w:r>
              <w:rPr>
                <w:rFonts w:hint="eastAsia" w:ascii="宋体" w:hAnsi="宋体" w:cs="宋体"/>
                <w:kern w:val="0"/>
                <w:sz w:val="18"/>
                <w:szCs w:val="18"/>
              </w:rPr>
              <w:t>适用风险评级客群</w:t>
            </w:r>
          </w:p>
        </w:tc>
      </w:tr>
      <w:tr>
        <w:tblPrEx>
          <w:tblLayout w:type="fixed"/>
          <w:tblCellMar>
            <w:top w:w="15" w:type="dxa"/>
            <w:left w:w="108" w:type="dxa"/>
            <w:bottom w:w="15" w:type="dxa"/>
            <w:right w:w="108" w:type="dxa"/>
          </w:tblCellMar>
        </w:tblPrEx>
        <w:trPr>
          <w:trHeight w:val="1035" w:hRule="atLeast"/>
          <w:jc w:val="center"/>
        </w:trPr>
        <w:tc>
          <w:tcPr>
            <w:tcW w:w="951" w:type="dxa"/>
            <w:tcBorders>
              <w:top w:val="single" w:color="000000" w:sz="4" w:space="0"/>
              <w:left w:val="single" w:color="000000" w:sz="4" w:space="0"/>
              <w:bottom w:val="single" w:color="000000" w:sz="4" w:space="0"/>
              <w:right w:val="single" w:color="000000" w:sz="4" w:space="0"/>
            </w:tcBorders>
            <w:vAlign w:val="center"/>
          </w:tcPr>
          <w:p>
            <w:pPr>
              <w:ind w:firstLine="360" w:firstLineChars="200"/>
              <w:rPr>
                <w:rFonts w:hint="eastAsia" w:ascii="宋体" w:hAnsi="宋体" w:cs="宋体"/>
                <w:kern w:val="0"/>
                <w:sz w:val="18"/>
                <w:szCs w:val="18"/>
              </w:rPr>
            </w:pPr>
            <w:r>
              <w:rPr>
                <w:rFonts w:hint="eastAsia" w:ascii="宋体" w:hAnsi="宋体" w:cs="宋体"/>
                <w:kern w:val="0"/>
                <w:sz w:val="18"/>
                <w:szCs w:val="18"/>
              </w:rPr>
              <w:t>R1</w:t>
            </w:r>
          </w:p>
        </w:tc>
        <w:tc>
          <w:tcPr>
            <w:tcW w:w="100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s="宋体"/>
                <w:kern w:val="0"/>
                <w:sz w:val="18"/>
                <w:szCs w:val="18"/>
              </w:rPr>
            </w:pPr>
            <w:r>
              <w:rPr>
                <w:rFonts w:hint="eastAsia" w:ascii="宋体" w:hAnsi="宋体" w:cs="宋体"/>
                <w:kern w:val="0"/>
                <w:sz w:val="18"/>
                <w:szCs w:val="18"/>
              </w:rPr>
              <w:t>低风险</w:t>
            </w:r>
          </w:p>
        </w:tc>
        <w:tc>
          <w:tcPr>
            <w:tcW w:w="5130" w:type="dxa"/>
            <w:tcBorders>
              <w:top w:val="single" w:color="000000" w:sz="4" w:space="0"/>
              <w:left w:val="single" w:color="000000" w:sz="4" w:space="0"/>
              <w:bottom w:val="single" w:color="000000" w:sz="4" w:space="0"/>
              <w:right w:val="single" w:color="000000" w:sz="4" w:space="0"/>
            </w:tcBorders>
            <w:vAlign w:val="center"/>
          </w:tcPr>
          <w:p>
            <w:pPr>
              <w:ind w:firstLine="360" w:firstLineChars="200"/>
              <w:rPr>
                <w:rFonts w:hint="eastAsia" w:ascii="宋体" w:hAnsi="宋体" w:cs="宋体"/>
                <w:kern w:val="0"/>
                <w:sz w:val="18"/>
                <w:szCs w:val="18"/>
              </w:rPr>
            </w:pPr>
            <w:r>
              <w:rPr>
                <w:rFonts w:hint="eastAsia" w:ascii="宋体" w:hAnsi="宋体" w:cs="宋体"/>
                <w:kern w:val="0"/>
                <w:sz w:val="18"/>
                <w:szCs w:val="18"/>
              </w:rPr>
              <w:t>产品总体风险程度低，收益波动小，产品本金安全性高，收益不能实现的可能性很小，产品本金出现损失的可能性小。</w:t>
            </w:r>
          </w:p>
        </w:tc>
        <w:tc>
          <w:tcPr>
            <w:tcW w:w="2057" w:type="dxa"/>
            <w:tcBorders>
              <w:top w:val="single" w:color="auto" w:sz="4" w:space="0"/>
              <w:left w:val="single" w:color="auto" w:sz="4" w:space="0"/>
              <w:bottom w:val="single" w:color="auto" w:sz="4" w:space="0"/>
              <w:right w:val="single" w:color="auto" w:sz="4" w:space="0"/>
            </w:tcBorders>
            <w:vAlign w:val="center"/>
          </w:tcPr>
          <w:p>
            <w:pPr>
              <w:ind w:firstLine="360" w:firstLineChars="200"/>
              <w:rPr>
                <w:rFonts w:hint="eastAsia" w:ascii="宋体" w:hAnsi="宋体" w:cs="宋体"/>
                <w:kern w:val="0"/>
                <w:sz w:val="18"/>
                <w:szCs w:val="18"/>
              </w:rPr>
            </w:pPr>
            <w:r>
              <w:rPr>
                <w:rFonts w:hint="eastAsia" w:ascii="宋体" w:hAnsi="宋体" w:cs="宋体"/>
                <w:kern w:val="0"/>
                <w:sz w:val="18"/>
                <w:szCs w:val="18"/>
              </w:rPr>
              <w:t>保守型、稳健型</w:t>
            </w:r>
          </w:p>
          <w:p>
            <w:pPr>
              <w:ind w:firstLine="360" w:firstLineChars="200"/>
              <w:rPr>
                <w:rFonts w:hint="eastAsia" w:ascii="宋体" w:hAnsi="宋体" w:cs="宋体"/>
                <w:kern w:val="0"/>
                <w:sz w:val="18"/>
                <w:szCs w:val="18"/>
              </w:rPr>
            </w:pPr>
            <w:r>
              <w:rPr>
                <w:rFonts w:hint="eastAsia" w:ascii="宋体" w:hAnsi="宋体" w:cs="宋体"/>
                <w:kern w:val="0"/>
                <w:sz w:val="18"/>
                <w:szCs w:val="18"/>
              </w:rPr>
              <w:t>平衡型、成长型</w:t>
            </w:r>
          </w:p>
          <w:p>
            <w:pPr>
              <w:ind w:firstLine="360" w:firstLineChars="200"/>
              <w:rPr>
                <w:rFonts w:hint="eastAsia" w:ascii="宋体" w:hAnsi="宋体" w:cs="宋体"/>
                <w:kern w:val="0"/>
                <w:sz w:val="18"/>
                <w:szCs w:val="18"/>
              </w:rPr>
            </w:pPr>
            <w:r>
              <w:rPr>
                <w:rFonts w:hint="eastAsia" w:ascii="宋体" w:hAnsi="宋体" w:cs="宋体"/>
                <w:kern w:val="0"/>
                <w:sz w:val="18"/>
                <w:szCs w:val="18"/>
              </w:rPr>
              <w:t>进取型</w:t>
            </w:r>
          </w:p>
        </w:tc>
      </w:tr>
      <w:tr>
        <w:tblPrEx>
          <w:tblLayout w:type="fixed"/>
          <w:tblCellMar>
            <w:top w:w="15" w:type="dxa"/>
            <w:left w:w="108" w:type="dxa"/>
            <w:bottom w:w="15" w:type="dxa"/>
            <w:right w:w="108" w:type="dxa"/>
          </w:tblCellMar>
        </w:tblPrEx>
        <w:trPr>
          <w:trHeight w:val="908" w:hRule="atLeast"/>
          <w:jc w:val="center"/>
        </w:trPr>
        <w:tc>
          <w:tcPr>
            <w:tcW w:w="951" w:type="dxa"/>
            <w:tcBorders>
              <w:top w:val="single" w:color="000000" w:sz="4" w:space="0"/>
              <w:left w:val="single" w:color="000000" w:sz="4" w:space="0"/>
              <w:bottom w:val="single" w:color="000000" w:sz="4" w:space="0"/>
              <w:right w:val="single" w:color="000000" w:sz="4" w:space="0"/>
            </w:tcBorders>
            <w:vAlign w:val="center"/>
          </w:tcPr>
          <w:p>
            <w:pPr>
              <w:ind w:firstLine="360" w:firstLineChars="200"/>
              <w:rPr>
                <w:rFonts w:hint="eastAsia" w:ascii="宋体" w:hAnsi="宋体" w:cs="宋体"/>
                <w:kern w:val="0"/>
                <w:sz w:val="18"/>
                <w:szCs w:val="18"/>
              </w:rPr>
            </w:pPr>
            <w:r>
              <w:rPr>
                <w:rFonts w:hint="eastAsia" w:ascii="宋体" w:hAnsi="宋体" w:cs="宋体"/>
                <w:kern w:val="0"/>
                <w:sz w:val="18"/>
                <w:szCs w:val="18"/>
              </w:rPr>
              <w:t>R2</w:t>
            </w:r>
          </w:p>
        </w:tc>
        <w:tc>
          <w:tcPr>
            <w:tcW w:w="100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s="宋体"/>
                <w:kern w:val="0"/>
                <w:sz w:val="18"/>
                <w:szCs w:val="18"/>
              </w:rPr>
            </w:pPr>
            <w:r>
              <w:rPr>
                <w:rFonts w:hint="eastAsia" w:ascii="宋体" w:hAnsi="宋体" w:cs="宋体"/>
                <w:kern w:val="0"/>
                <w:sz w:val="18"/>
                <w:szCs w:val="18"/>
              </w:rPr>
              <w:t>中低风险</w:t>
            </w:r>
          </w:p>
        </w:tc>
        <w:tc>
          <w:tcPr>
            <w:tcW w:w="5130" w:type="dxa"/>
            <w:tcBorders>
              <w:top w:val="single" w:color="000000" w:sz="4" w:space="0"/>
              <w:left w:val="single" w:color="000000" w:sz="4" w:space="0"/>
              <w:bottom w:val="single" w:color="000000" w:sz="4" w:space="0"/>
              <w:right w:val="single" w:color="000000" w:sz="4" w:space="0"/>
            </w:tcBorders>
            <w:vAlign w:val="center"/>
          </w:tcPr>
          <w:p>
            <w:pPr>
              <w:ind w:firstLine="360" w:firstLineChars="200"/>
              <w:rPr>
                <w:rFonts w:hint="eastAsia" w:ascii="宋体" w:hAnsi="宋体" w:cs="宋体"/>
                <w:kern w:val="0"/>
                <w:sz w:val="18"/>
                <w:szCs w:val="18"/>
              </w:rPr>
            </w:pPr>
            <w:r>
              <w:rPr>
                <w:rFonts w:hint="eastAsia" w:ascii="宋体" w:hAnsi="宋体" w:cs="宋体"/>
                <w:kern w:val="0"/>
                <w:sz w:val="18"/>
                <w:szCs w:val="18"/>
              </w:rPr>
              <w:t>产品总体风险程度较低，收益波动较小，虽然存在一些可能对产品本金和收益安全产生不利影响的因素，但产品本金出现损失的可能性较小。</w:t>
            </w:r>
          </w:p>
        </w:tc>
        <w:tc>
          <w:tcPr>
            <w:tcW w:w="2057" w:type="dxa"/>
            <w:tcBorders>
              <w:top w:val="single" w:color="auto" w:sz="4" w:space="0"/>
              <w:left w:val="single" w:color="auto" w:sz="4" w:space="0"/>
              <w:bottom w:val="single" w:color="auto" w:sz="4" w:space="0"/>
              <w:right w:val="single" w:color="auto" w:sz="4" w:space="0"/>
            </w:tcBorders>
            <w:vAlign w:val="center"/>
          </w:tcPr>
          <w:p>
            <w:pPr>
              <w:ind w:firstLine="360" w:firstLineChars="200"/>
              <w:rPr>
                <w:rFonts w:hint="eastAsia" w:ascii="宋体" w:hAnsi="宋体" w:cs="宋体"/>
                <w:kern w:val="0"/>
                <w:sz w:val="18"/>
                <w:szCs w:val="18"/>
              </w:rPr>
            </w:pPr>
            <w:r>
              <w:rPr>
                <w:rFonts w:hint="eastAsia" w:ascii="宋体" w:hAnsi="宋体" w:cs="宋体"/>
                <w:kern w:val="0"/>
                <w:sz w:val="18"/>
                <w:szCs w:val="18"/>
              </w:rPr>
              <w:t>稳健型、平衡型</w:t>
            </w:r>
          </w:p>
          <w:p>
            <w:pPr>
              <w:ind w:firstLine="360" w:firstLineChars="200"/>
              <w:rPr>
                <w:rFonts w:hint="eastAsia" w:ascii="宋体" w:hAnsi="宋体" w:cs="宋体"/>
                <w:kern w:val="0"/>
                <w:sz w:val="18"/>
                <w:szCs w:val="18"/>
              </w:rPr>
            </w:pPr>
            <w:r>
              <w:rPr>
                <w:rFonts w:hint="eastAsia" w:ascii="宋体" w:hAnsi="宋体" w:cs="宋体"/>
                <w:kern w:val="0"/>
                <w:sz w:val="18"/>
                <w:szCs w:val="18"/>
              </w:rPr>
              <w:t>成长型、进取型</w:t>
            </w:r>
          </w:p>
        </w:tc>
      </w:tr>
      <w:tr>
        <w:tblPrEx>
          <w:tblLayout w:type="fixed"/>
          <w:tblCellMar>
            <w:top w:w="15" w:type="dxa"/>
            <w:left w:w="108" w:type="dxa"/>
            <w:bottom w:w="15" w:type="dxa"/>
            <w:right w:w="108" w:type="dxa"/>
          </w:tblCellMar>
        </w:tblPrEx>
        <w:trPr>
          <w:trHeight w:val="616" w:hRule="atLeast"/>
          <w:jc w:val="center"/>
        </w:trPr>
        <w:tc>
          <w:tcPr>
            <w:tcW w:w="951" w:type="dxa"/>
            <w:tcBorders>
              <w:top w:val="single" w:color="000000" w:sz="4" w:space="0"/>
              <w:left w:val="single" w:color="000000" w:sz="4" w:space="0"/>
              <w:bottom w:val="single" w:color="000000" w:sz="4" w:space="0"/>
              <w:right w:val="single" w:color="000000" w:sz="4" w:space="0"/>
            </w:tcBorders>
            <w:vAlign w:val="center"/>
          </w:tcPr>
          <w:p>
            <w:pPr>
              <w:ind w:firstLine="360" w:firstLineChars="200"/>
              <w:rPr>
                <w:rFonts w:hint="eastAsia" w:ascii="宋体" w:hAnsi="宋体" w:cs="宋体"/>
                <w:kern w:val="0"/>
                <w:sz w:val="18"/>
                <w:szCs w:val="18"/>
              </w:rPr>
            </w:pPr>
            <w:r>
              <w:rPr>
                <w:rFonts w:hint="eastAsia" w:ascii="宋体" w:hAnsi="宋体" w:cs="宋体"/>
                <w:kern w:val="0"/>
                <w:sz w:val="18"/>
                <w:szCs w:val="18"/>
              </w:rPr>
              <w:t>R3</w:t>
            </w:r>
          </w:p>
        </w:tc>
        <w:tc>
          <w:tcPr>
            <w:tcW w:w="100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s="宋体"/>
                <w:kern w:val="0"/>
                <w:sz w:val="18"/>
                <w:szCs w:val="18"/>
              </w:rPr>
            </w:pPr>
            <w:r>
              <w:rPr>
                <w:rFonts w:hint="eastAsia" w:ascii="宋体" w:hAnsi="宋体" w:cs="宋体"/>
                <w:kern w:val="0"/>
                <w:sz w:val="18"/>
                <w:szCs w:val="18"/>
              </w:rPr>
              <w:t>中等风险</w:t>
            </w:r>
          </w:p>
        </w:tc>
        <w:tc>
          <w:tcPr>
            <w:tcW w:w="5130" w:type="dxa"/>
            <w:tcBorders>
              <w:top w:val="single" w:color="000000" w:sz="4" w:space="0"/>
              <w:left w:val="single" w:color="000000" w:sz="4" w:space="0"/>
              <w:bottom w:val="single" w:color="000000" w:sz="4" w:space="0"/>
              <w:right w:val="single" w:color="000000" w:sz="4" w:space="0"/>
            </w:tcBorders>
            <w:vAlign w:val="center"/>
          </w:tcPr>
          <w:p>
            <w:pPr>
              <w:ind w:firstLine="360" w:firstLineChars="200"/>
              <w:rPr>
                <w:rFonts w:hint="eastAsia" w:ascii="宋体" w:hAnsi="宋体" w:cs="宋体"/>
                <w:kern w:val="0"/>
                <w:sz w:val="18"/>
                <w:szCs w:val="18"/>
              </w:rPr>
            </w:pPr>
            <w:r>
              <w:rPr>
                <w:rFonts w:hint="eastAsia" w:ascii="宋体" w:hAnsi="宋体" w:cs="宋体"/>
                <w:kern w:val="0"/>
                <w:sz w:val="18"/>
                <w:szCs w:val="18"/>
              </w:rPr>
              <w:t>产品总体风险程度适中，收益存在一定的波动，产品本金出现损失的可能性不容忽视。</w:t>
            </w:r>
          </w:p>
        </w:tc>
        <w:tc>
          <w:tcPr>
            <w:tcW w:w="2057" w:type="dxa"/>
            <w:tcBorders>
              <w:top w:val="single" w:color="auto" w:sz="4" w:space="0"/>
              <w:left w:val="single" w:color="auto" w:sz="4" w:space="0"/>
              <w:bottom w:val="single" w:color="auto" w:sz="4" w:space="0"/>
              <w:right w:val="single" w:color="auto" w:sz="4" w:space="0"/>
            </w:tcBorders>
            <w:vAlign w:val="center"/>
          </w:tcPr>
          <w:p>
            <w:pPr>
              <w:ind w:firstLine="360" w:firstLineChars="200"/>
              <w:rPr>
                <w:rFonts w:hint="eastAsia" w:ascii="宋体" w:hAnsi="宋体" w:cs="宋体"/>
                <w:kern w:val="0"/>
                <w:sz w:val="18"/>
                <w:szCs w:val="18"/>
              </w:rPr>
            </w:pPr>
            <w:r>
              <w:rPr>
                <w:rFonts w:hint="eastAsia" w:ascii="宋体" w:hAnsi="宋体" w:cs="宋体"/>
                <w:kern w:val="0"/>
                <w:sz w:val="18"/>
                <w:szCs w:val="18"/>
              </w:rPr>
              <w:t>平衡型、成长型</w:t>
            </w:r>
          </w:p>
          <w:p>
            <w:pPr>
              <w:ind w:firstLine="360" w:firstLineChars="200"/>
              <w:rPr>
                <w:rFonts w:hint="eastAsia" w:ascii="宋体" w:hAnsi="宋体" w:cs="宋体"/>
                <w:kern w:val="0"/>
                <w:sz w:val="18"/>
                <w:szCs w:val="18"/>
              </w:rPr>
            </w:pPr>
            <w:r>
              <w:rPr>
                <w:rFonts w:hint="eastAsia" w:ascii="宋体" w:hAnsi="宋体" w:cs="宋体"/>
                <w:kern w:val="0"/>
                <w:sz w:val="18"/>
                <w:szCs w:val="18"/>
              </w:rPr>
              <w:t>进取型</w:t>
            </w:r>
          </w:p>
        </w:tc>
      </w:tr>
      <w:tr>
        <w:tblPrEx>
          <w:tblLayout w:type="fixed"/>
          <w:tblCellMar>
            <w:top w:w="15" w:type="dxa"/>
            <w:left w:w="108" w:type="dxa"/>
            <w:bottom w:w="15" w:type="dxa"/>
            <w:right w:w="108" w:type="dxa"/>
          </w:tblCellMar>
        </w:tblPrEx>
        <w:trPr>
          <w:trHeight w:val="554" w:hRule="atLeast"/>
          <w:jc w:val="center"/>
        </w:trPr>
        <w:tc>
          <w:tcPr>
            <w:tcW w:w="951" w:type="dxa"/>
            <w:tcBorders>
              <w:top w:val="single" w:color="000000" w:sz="4" w:space="0"/>
              <w:left w:val="single" w:color="000000" w:sz="4" w:space="0"/>
              <w:bottom w:val="single" w:color="000000" w:sz="4" w:space="0"/>
              <w:right w:val="single" w:color="000000" w:sz="4" w:space="0"/>
            </w:tcBorders>
            <w:vAlign w:val="center"/>
          </w:tcPr>
          <w:p>
            <w:pPr>
              <w:ind w:firstLine="360" w:firstLineChars="200"/>
              <w:rPr>
                <w:rFonts w:hint="eastAsia" w:ascii="宋体" w:hAnsi="宋体" w:cs="宋体"/>
                <w:kern w:val="0"/>
                <w:sz w:val="18"/>
                <w:szCs w:val="18"/>
              </w:rPr>
            </w:pPr>
            <w:r>
              <w:rPr>
                <w:rFonts w:hint="eastAsia" w:ascii="宋体" w:hAnsi="宋体" w:cs="宋体"/>
                <w:kern w:val="0"/>
                <w:sz w:val="18"/>
                <w:szCs w:val="18"/>
              </w:rPr>
              <w:t>R4</w:t>
            </w:r>
          </w:p>
        </w:tc>
        <w:tc>
          <w:tcPr>
            <w:tcW w:w="100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s="宋体"/>
                <w:kern w:val="0"/>
                <w:sz w:val="18"/>
                <w:szCs w:val="18"/>
              </w:rPr>
            </w:pPr>
            <w:r>
              <w:rPr>
                <w:rFonts w:hint="eastAsia" w:ascii="宋体" w:hAnsi="宋体" w:cs="宋体"/>
                <w:kern w:val="0"/>
                <w:sz w:val="18"/>
                <w:szCs w:val="18"/>
              </w:rPr>
              <w:t>较高风险</w:t>
            </w:r>
          </w:p>
        </w:tc>
        <w:tc>
          <w:tcPr>
            <w:tcW w:w="5130" w:type="dxa"/>
            <w:tcBorders>
              <w:top w:val="single" w:color="000000" w:sz="4" w:space="0"/>
              <w:left w:val="single" w:color="000000" w:sz="4" w:space="0"/>
              <w:bottom w:val="single" w:color="000000" w:sz="4" w:space="0"/>
              <w:right w:val="single" w:color="000000" w:sz="4" w:space="0"/>
            </w:tcBorders>
            <w:vAlign w:val="center"/>
          </w:tcPr>
          <w:p>
            <w:pPr>
              <w:ind w:firstLine="360" w:firstLineChars="200"/>
              <w:rPr>
                <w:rFonts w:hint="eastAsia" w:ascii="宋体" w:hAnsi="宋体" w:cs="宋体"/>
                <w:kern w:val="0"/>
                <w:sz w:val="18"/>
                <w:szCs w:val="18"/>
              </w:rPr>
            </w:pPr>
            <w:r>
              <w:rPr>
                <w:rFonts w:hint="eastAsia" w:ascii="宋体" w:hAnsi="宋体" w:cs="宋体"/>
                <w:kern w:val="0"/>
                <w:sz w:val="18"/>
                <w:szCs w:val="18"/>
              </w:rPr>
              <w:t>产品总体风险程度较高，收益波动较明显，产品本金出现损失的可能性高。</w:t>
            </w:r>
          </w:p>
        </w:tc>
        <w:tc>
          <w:tcPr>
            <w:tcW w:w="2057" w:type="dxa"/>
            <w:tcBorders>
              <w:top w:val="single" w:color="auto" w:sz="4" w:space="0"/>
              <w:left w:val="single" w:color="auto" w:sz="4" w:space="0"/>
              <w:bottom w:val="single" w:color="auto" w:sz="4" w:space="0"/>
              <w:right w:val="single" w:color="auto" w:sz="4" w:space="0"/>
            </w:tcBorders>
            <w:vAlign w:val="center"/>
          </w:tcPr>
          <w:p>
            <w:pPr>
              <w:ind w:firstLine="360" w:firstLineChars="200"/>
              <w:rPr>
                <w:rFonts w:hint="eastAsia" w:ascii="宋体" w:hAnsi="宋体" w:cs="宋体"/>
                <w:kern w:val="0"/>
                <w:sz w:val="18"/>
                <w:szCs w:val="18"/>
              </w:rPr>
            </w:pPr>
            <w:r>
              <w:rPr>
                <w:rFonts w:hint="eastAsia" w:ascii="宋体" w:hAnsi="宋体" w:cs="宋体"/>
                <w:kern w:val="0"/>
                <w:sz w:val="18"/>
                <w:szCs w:val="18"/>
              </w:rPr>
              <w:t>成长型、进取型</w:t>
            </w:r>
          </w:p>
        </w:tc>
      </w:tr>
      <w:tr>
        <w:tblPrEx>
          <w:tblLayout w:type="fixed"/>
          <w:tblCellMar>
            <w:top w:w="15" w:type="dxa"/>
            <w:left w:w="108" w:type="dxa"/>
            <w:bottom w:w="15" w:type="dxa"/>
            <w:right w:w="108" w:type="dxa"/>
          </w:tblCellMar>
        </w:tblPrEx>
        <w:trPr>
          <w:trHeight w:val="375" w:hRule="atLeast"/>
          <w:jc w:val="center"/>
        </w:trPr>
        <w:tc>
          <w:tcPr>
            <w:tcW w:w="951" w:type="dxa"/>
            <w:tcBorders>
              <w:top w:val="single" w:color="000000" w:sz="4" w:space="0"/>
              <w:left w:val="single" w:color="000000" w:sz="4" w:space="0"/>
              <w:bottom w:val="single" w:color="000000" w:sz="4" w:space="0"/>
              <w:right w:val="single" w:color="000000" w:sz="4" w:space="0"/>
            </w:tcBorders>
            <w:vAlign w:val="center"/>
          </w:tcPr>
          <w:p>
            <w:pPr>
              <w:ind w:firstLine="360" w:firstLineChars="200"/>
              <w:rPr>
                <w:rFonts w:hint="eastAsia" w:ascii="宋体" w:hAnsi="宋体" w:cs="宋体"/>
                <w:kern w:val="0"/>
                <w:sz w:val="18"/>
                <w:szCs w:val="18"/>
              </w:rPr>
            </w:pPr>
            <w:r>
              <w:rPr>
                <w:rFonts w:hint="eastAsia" w:ascii="宋体" w:hAnsi="宋体" w:cs="宋体"/>
                <w:kern w:val="0"/>
                <w:sz w:val="18"/>
                <w:szCs w:val="18"/>
              </w:rPr>
              <w:t>R5</w:t>
            </w:r>
          </w:p>
        </w:tc>
        <w:tc>
          <w:tcPr>
            <w:tcW w:w="100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s="宋体"/>
                <w:kern w:val="0"/>
                <w:sz w:val="18"/>
                <w:szCs w:val="18"/>
              </w:rPr>
            </w:pPr>
            <w:r>
              <w:rPr>
                <w:rFonts w:hint="eastAsia" w:ascii="宋体" w:hAnsi="宋体" w:cs="宋体"/>
                <w:kern w:val="0"/>
                <w:sz w:val="18"/>
                <w:szCs w:val="18"/>
              </w:rPr>
              <w:t>高风险</w:t>
            </w:r>
          </w:p>
        </w:tc>
        <w:tc>
          <w:tcPr>
            <w:tcW w:w="5130" w:type="dxa"/>
            <w:tcBorders>
              <w:top w:val="single" w:color="000000" w:sz="4" w:space="0"/>
              <w:left w:val="single" w:color="000000" w:sz="4" w:space="0"/>
              <w:bottom w:val="single" w:color="000000" w:sz="4" w:space="0"/>
              <w:right w:val="single" w:color="000000" w:sz="4" w:space="0"/>
            </w:tcBorders>
            <w:vAlign w:val="center"/>
          </w:tcPr>
          <w:p>
            <w:pPr>
              <w:ind w:firstLine="360" w:firstLineChars="200"/>
              <w:rPr>
                <w:rFonts w:hint="eastAsia" w:ascii="宋体" w:hAnsi="宋体" w:cs="宋体"/>
                <w:kern w:val="0"/>
                <w:sz w:val="18"/>
                <w:szCs w:val="18"/>
              </w:rPr>
            </w:pPr>
            <w:r>
              <w:rPr>
                <w:rFonts w:hint="eastAsia" w:ascii="宋体" w:hAnsi="宋体" w:cs="宋体"/>
                <w:kern w:val="0"/>
                <w:sz w:val="18"/>
                <w:szCs w:val="18"/>
              </w:rPr>
              <w:t>产品总体风险程度高，收益波动明显，产品本金出现损失的可能性很高，产品本金出现全部损失的可能性不容忽视。</w:t>
            </w:r>
          </w:p>
        </w:tc>
        <w:tc>
          <w:tcPr>
            <w:tcW w:w="2057" w:type="dxa"/>
            <w:tcBorders>
              <w:top w:val="single" w:color="auto" w:sz="4" w:space="0"/>
              <w:left w:val="single" w:color="auto" w:sz="4" w:space="0"/>
              <w:bottom w:val="single" w:color="auto" w:sz="4" w:space="0"/>
              <w:right w:val="single" w:color="auto" w:sz="4" w:space="0"/>
            </w:tcBorders>
            <w:vAlign w:val="center"/>
          </w:tcPr>
          <w:p>
            <w:pPr>
              <w:ind w:firstLine="360" w:firstLineChars="200"/>
              <w:rPr>
                <w:rFonts w:hint="eastAsia" w:ascii="宋体" w:hAnsi="宋体" w:cs="宋体"/>
                <w:kern w:val="0"/>
                <w:sz w:val="18"/>
                <w:szCs w:val="18"/>
              </w:rPr>
            </w:pPr>
            <w:r>
              <w:rPr>
                <w:rFonts w:hint="eastAsia" w:ascii="宋体" w:hAnsi="宋体" w:cs="宋体"/>
                <w:kern w:val="0"/>
                <w:sz w:val="18"/>
                <w:szCs w:val="18"/>
              </w:rPr>
              <w:t>进取型</w:t>
            </w:r>
          </w:p>
        </w:tc>
      </w:tr>
    </w:tbl>
    <w:p>
      <w:pPr>
        <w:widowControl/>
        <w:jc w:val="left"/>
        <w:rPr>
          <w:rFonts w:hint="eastAsia" w:ascii="宋体" w:hAnsi="宋体"/>
          <w:sz w:val="18"/>
          <w:szCs w:val="18"/>
          <w:lang w:val="en-US" w:eastAsia="zh-CN"/>
        </w:rPr>
      </w:pPr>
    </w:p>
    <w:p>
      <w:pPr>
        <w:widowControl/>
        <w:ind w:firstLine="360" w:firstLineChars="200"/>
        <w:jc w:val="left"/>
        <w:rPr>
          <w:rFonts w:ascii="宋体"/>
        </w:rPr>
      </w:pPr>
      <w:r>
        <w:rPr>
          <w:rFonts w:hint="eastAsia" w:ascii="宋体" w:hAnsi="宋体" w:cs="宋体"/>
          <w:kern w:val="0"/>
          <w:sz w:val="18"/>
          <w:szCs w:val="18"/>
        </w:rPr>
        <w:t>三、理财产品的信息披露将通过新疆银行各营业网点、新疆银行网站（</w:t>
      </w:r>
      <w:r>
        <w:rPr>
          <w:rFonts w:ascii="宋体" w:hAnsi="宋体" w:cs="宋体"/>
          <w:kern w:val="0"/>
          <w:sz w:val="18"/>
          <w:szCs w:val="18"/>
        </w:rPr>
        <w:t>www.xjbank.com</w:t>
      </w:r>
      <w:r>
        <w:rPr>
          <w:rFonts w:hint="eastAsia" w:ascii="宋体" w:hAnsi="宋体" w:cs="宋体"/>
          <w:kern w:val="0"/>
          <w:sz w:val="18"/>
          <w:szCs w:val="18"/>
        </w:rPr>
        <w:t>）、新疆银行官方微信等信息渠道进行，具体方式、渠道及频率以《产品说明书》中“信息披露”约定为准</w:t>
      </w:r>
      <w:r>
        <w:rPr>
          <w:rFonts w:hint="eastAsia" w:ascii="宋体" w:hAnsi="宋体" w:cs="仿宋_GB2312"/>
          <w:kern w:val="0"/>
          <w:sz w:val="18"/>
          <w:szCs w:val="18"/>
        </w:rPr>
        <w:t>。</w:t>
      </w:r>
    </w:p>
    <w:p>
      <w:pPr>
        <w:widowControl/>
        <w:ind w:firstLine="360" w:firstLineChars="200"/>
        <w:jc w:val="left"/>
        <w:rPr>
          <w:rFonts w:ascii="宋体" w:cs="宋体"/>
          <w:kern w:val="0"/>
          <w:sz w:val="18"/>
          <w:szCs w:val="18"/>
        </w:rPr>
      </w:pPr>
      <w:r>
        <w:rPr>
          <w:rFonts w:hint="eastAsia" w:ascii="宋体" w:hAnsi="宋体" w:cs="宋体"/>
          <w:kern w:val="0"/>
          <w:sz w:val="18"/>
          <w:szCs w:val="18"/>
        </w:rPr>
        <w:t>四、您对本理财产品有任何意见或异议，可反馈至本行营业网点。</w:t>
      </w:r>
      <w:r>
        <w:rPr>
          <w:rFonts w:ascii="宋体" w:cs="宋体"/>
          <w:kern w:val="0"/>
          <w:sz w:val="18"/>
          <w:szCs w:val="18"/>
        </w:rPr>
        <w:t> </w:t>
      </w:r>
    </w:p>
    <w:p>
      <w:pPr>
        <w:widowControl/>
        <w:ind w:firstLine="360" w:firstLineChars="200"/>
        <w:jc w:val="left"/>
        <w:rPr>
          <w:rFonts w:hint="eastAsia" w:ascii="宋体" w:cs="宋体"/>
          <w:kern w:val="0"/>
          <w:sz w:val="18"/>
          <w:szCs w:val="18"/>
          <w:lang w:val="en-US" w:eastAsia="zh-CN"/>
        </w:rPr>
      </w:pPr>
      <w:r>
        <w:rPr>
          <w:rFonts w:hint="eastAsia" w:ascii="宋体" w:cs="宋体"/>
          <w:kern w:val="0"/>
          <w:sz w:val="18"/>
          <w:szCs w:val="18"/>
          <w:lang w:val="en-US" w:eastAsia="zh-CN"/>
        </w:rPr>
        <w:t>五、为保护您的购买权益，自您签订本协议起二十五小时内，如果您改变决定，解除签订的销售协议，我行将及时退还您的全部投资款项，在此二十五小时之内即为投资冷静期，投资冷静期自销售协议签字确认后起算。</w:t>
      </w:r>
    </w:p>
    <w:p>
      <w:pPr>
        <w:widowControl/>
        <w:ind w:firstLine="360" w:firstLineChars="200"/>
        <w:jc w:val="left"/>
        <w:rPr>
          <w:rFonts w:ascii="宋体"/>
        </w:rPr>
      </w:pPr>
      <w:r>
        <w:rPr>
          <w:rFonts w:hint="eastAsia" w:ascii="宋体" w:cs="宋体"/>
          <w:kern w:val="0"/>
          <w:sz w:val="18"/>
          <w:szCs w:val="18"/>
          <w:lang w:val="en-US" w:eastAsia="zh-CN" w:bidi="ar-SA"/>
        </w:rPr>
        <w:t>六、</w:t>
      </w:r>
      <w:r>
        <w:rPr>
          <w:rFonts w:hint="eastAsia" w:ascii="宋体" w:cs="宋体"/>
          <w:kern w:val="0"/>
          <w:sz w:val="18"/>
          <w:szCs w:val="18"/>
          <w:lang w:val="en-US" w:eastAsia="zh-CN"/>
        </w:rPr>
        <w:t>根据监管要求，</w:t>
      </w:r>
      <w:r>
        <w:rPr>
          <w:rFonts w:hint="eastAsia" w:ascii="宋体" w:hAnsi="宋体" w:cs="宋体"/>
          <w:kern w:val="0"/>
          <w:sz w:val="18"/>
          <w:szCs w:val="18"/>
          <w:lang w:val="en-US" w:eastAsia="zh-CN"/>
        </w:rPr>
        <w:t>我行将向监管机构如实报送您的身份信息及产品持有信息、产品存续期信息，请您知悉。</w:t>
      </w:r>
      <w:r>
        <w:rPr>
          <w:rFonts w:ascii="宋体" w:cs="宋体"/>
          <w:kern w:val="0"/>
          <w:sz w:val="18"/>
          <w:szCs w:val="18"/>
        </w:rPr>
        <w:t> </w:t>
      </w:r>
    </w:p>
    <w:p>
      <w:pPr>
        <w:widowControl/>
        <w:ind w:firstLine="360" w:firstLineChars="200"/>
        <w:jc w:val="left"/>
        <w:rPr>
          <w:rFonts w:hint="eastAsia" w:ascii="宋体" w:cs="宋体"/>
          <w:kern w:val="0"/>
          <w:sz w:val="18"/>
          <w:szCs w:val="18"/>
          <w:lang w:val="en-US" w:eastAsia="zh-CN"/>
        </w:rPr>
      </w:pPr>
    </w:p>
    <w:p>
      <w:pPr>
        <w:widowControl/>
        <w:jc w:val="center"/>
        <w:rPr>
          <w:rFonts w:ascii="宋体"/>
        </w:rPr>
      </w:pPr>
      <w:r>
        <w:rPr>
          <w:rFonts w:ascii="宋体" w:hAnsi="宋体" w:cs="宋体"/>
          <w:kern w:val="0"/>
          <w:sz w:val="18"/>
          <w:szCs w:val="18"/>
        </w:rPr>
        <w:t xml:space="preserve">                                                                        </w:t>
      </w:r>
      <w:r>
        <w:rPr>
          <w:rFonts w:hint="eastAsia" w:ascii="宋体" w:hAnsi="宋体" w:cs="宋体"/>
          <w:kern w:val="0"/>
          <w:sz w:val="18"/>
          <w:szCs w:val="18"/>
        </w:rPr>
        <w:t>新疆银行股份有限公司</w:t>
      </w:r>
    </w:p>
    <w:sectPr>
      <w:headerReference r:id="rId3" w:type="default"/>
      <w:pgSz w:w="11906" w:h="16838"/>
      <w:pgMar w:top="703" w:right="1576" w:bottom="1043" w:left="1576"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大黑简体">
    <w:panose1 w:val="02010601030101010101"/>
    <w:charset w:val="86"/>
    <w:family w:val="auto"/>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方正仿宋简体">
    <w:panose1 w:val="02010601030101010101"/>
    <w:charset w:val="86"/>
    <w:family w:val="auto"/>
    <w:pitch w:val="default"/>
    <w:sig w:usb0="00000001" w:usb1="080E0000" w:usb2="0000000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等线">
    <w:panose1 w:val="02010600030101010101"/>
    <w:charset w:val="86"/>
    <w:family w:val="auto"/>
    <w:pitch w:val="default"/>
    <w:sig w:usb0="A00002BF" w:usb1="38CF7CFA" w:usb2="00000016" w:usb3="00000000" w:csb0="0004000F" w:csb1="00000000"/>
  </w:font>
  <w:font w:name="华文仿宋">
    <w:panose1 w:val="02010600040101010101"/>
    <w:charset w:val="86"/>
    <w:family w:val="auto"/>
    <w:pitch w:val="default"/>
    <w:sig w:usb0="00000287" w:usb1="080F0000" w:usb2="00000000" w:usb3="00000000" w:csb0="0004009F" w:csb1="DFD70000"/>
  </w:font>
  <w:font w:name="等线 Light">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2E36"/>
    <w:rsid w:val="000B04CC"/>
    <w:rsid w:val="00115954"/>
    <w:rsid w:val="0017033A"/>
    <w:rsid w:val="0022449B"/>
    <w:rsid w:val="003A21CD"/>
    <w:rsid w:val="004351FD"/>
    <w:rsid w:val="004A6CFA"/>
    <w:rsid w:val="004C3F9A"/>
    <w:rsid w:val="004F0EAF"/>
    <w:rsid w:val="004F145F"/>
    <w:rsid w:val="0054191D"/>
    <w:rsid w:val="00563F34"/>
    <w:rsid w:val="005D30C2"/>
    <w:rsid w:val="005E172D"/>
    <w:rsid w:val="0061665A"/>
    <w:rsid w:val="00630761"/>
    <w:rsid w:val="007820A5"/>
    <w:rsid w:val="00815ADA"/>
    <w:rsid w:val="008B4DC2"/>
    <w:rsid w:val="00945DB2"/>
    <w:rsid w:val="0099439C"/>
    <w:rsid w:val="00994AFC"/>
    <w:rsid w:val="00A33A8F"/>
    <w:rsid w:val="00A4087F"/>
    <w:rsid w:val="00AC2828"/>
    <w:rsid w:val="00B006B8"/>
    <w:rsid w:val="00B22E87"/>
    <w:rsid w:val="00B32E36"/>
    <w:rsid w:val="00B722E1"/>
    <w:rsid w:val="00C14C27"/>
    <w:rsid w:val="00C4059F"/>
    <w:rsid w:val="00D52A3C"/>
    <w:rsid w:val="00DF1176"/>
    <w:rsid w:val="00EA07AD"/>
    <w:rsid w:val="00F42C2E"/>
    <w:rsid w:val="00FD0139"/>
    <w:rsid w:val="00FD0CC8"/>
    <w:rsid w:val="0D0B71A6"/>
    <w:rsid w:val="16702F20"/>
    <w:rsid w:val="2C9C3583"/>
    <w:rsid w:val="2E4B4C53"/>
    <w:rsid w:val="3B1F32ED"/>
    <w:rsid w:val="460F0B3E"/>
    <w:rsid w:val="4C070B27"/>
    <w:rsid w:val="5165130D"/>
    <w:rsid w:val="525F2AA3"/>
    <w:rsid w:val="53EA27F3"/>
    <w:rsid w:val="5A2C0915"/>
    <w:rsid w:val="5ACF4ECB"/>
  </w:rsids>
  <m:mathPr>
    <m:lMargin m:val="0"/>
    <m:mathFont m:val="Cambria Math"/>
    <m:rMargin m:val="0"/>
    <m:wrapIndent m:val="1440"/>
    <m:brkBin m:val="before"/>
    <m:brkBinSub m:val="--"/>
    <m:defJc m:val="centerGroup"/>
    <m:intLim m:val="subSup"/>
    <m:naryLim m:val="undOvr"/>
    <m:smallFrac m:val="off"/>
    <m:dispDef/>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semiHidden/>
    <w:qFormat/>
    <w:uiPriority w:val="99"/>
    <w:pPr>
      <w:tabs>
        <w:tab w:val="center" w:pos="4153"/>
        <w:tab w:val="right" w:pos="8306"/>
      </w:tabs>
      <w:snapToGrid w:val="0"/>
      <w:jc w:val="left"/>
    </w:pPr>
    <w:rPr>
      <w:sz w:val="18"/>
      <w:szCs w:val="18"/>
    </w:rPr>
  </w:style>
  <w:style w:type="paragraph" w:styleId="3">
    <w:name w:val="header"/>
    <w:basedOn w:val="1"/>
    <w:link w:val="8"/>
    <w:semiHidden/>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6">
    <w:name w:val="Strong"/>
    <w:basedOn w:val="5"/>
    <w:qFormat/>
    <w:uiPriority w:val="99"/>
    <w:rPr>
      <w:rFonts w:cs="Times New Roman"/>
      <w:b/>
      <w:bCs/>
    </w:rPr>
  </w:style>
  <w:style w:type="character" w:customStyle="1" w:styleId="8">
    <w:name w:val="页眉 Char"/>
    <w:basedOn w:val="5"/>
    <w:link w:val="3"/>
    <w:semiHidden/>
    <w:qFormat/>
    <w:locked/>
    <w:uiPriority w:val="99"/>
    <w:rPr>
      <w:rFonts w:ascii="Times New Roman" w:hAnsi="Times New Roman" w:eastAsia="宋体" w:cs="Times New Roman"/>
      <w:sz w:val="18"/>
      <w:szCs w:val="18"/>
    </w:rPr>
  </w:style>
  <w:style w:type="character" w:customStyle="1" w:styleId="9">
    <w:name w:val="页脚 Char"/>
    <w:basedOn w:val="5"/>
    <w:link w:val="2"/>
    <w:semiHidden/>
    <w:qFormat/>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182</Words>
  <Characters>1039</Characters>
  <Lines>8</Lines>
  <Paragraphs>2</Paragraphs>
  <ScaleCrop>false</ScaleCrop>
  <LinksUpToDate>false</LinksUpToDate>
  <CharactersWithSpaces>1219</CharactersWithSpaces>
  <Application>WPS Office_10.8.0.5838_F1E327BC-269C-435d-A152-05C5408002CA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2018-02-01T04:06:00Z</dcterms:created>
  <dc:creator>曹文芳</dc:creator>
  <cp:lastModifiedBy>曹旭红</cp:lastModifiedBy>
  <cp:lastPrinted>2019-03-11T03:10:00Z</cp:lastPrinted>
  <dcterms:modified xsi:type="dcterms:W3CDTF">2020-03-31T07:51:52Z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2052-10.8.0.5838</vt:lpwstr>
  </property>
</Properties>
</file>