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b w:val="0"/>
          <w:kern w:val="0"/>
          <w:sz w:val="28"/>
          <w:szCs w:val="28"/>
        </w:rPr>
      </w:pPr>
      <w:bookmarkStart w:id="0" w:name="_GoBack"/>
      <w:bookmarkEnd w:id="0"/>
      <w:r>
        <w:rPr>
          <w:rStyle w:val="7"/>
          <w:rFonts w:hint="eastAsia" w:ascii="黑体" w:hAnsi="黑体" w:eastAsia="黑体" w:cs="宋体"/>
          <w:b w:val="0"/>
          <w:kern w:val="0"/>
          <w:sz w:val="28"/>
          <w:szCs w:val="28"/>
        </w:rPr>
        <w:t>新疆银行“金胡杨”封闭净值型人民币理财产品说明书</w:t>
      </w:r>
    </w:p>
    <w:p>
      <w:pPr>
        <w:spacing w:line="400" w:lineRule="exact"/>
        <w:jc w:val="center"/>
        <w:rPr>
          <w:rStyle w:val="7"/>
          <w:rFonts w:hint="eastAsia" w:ascii="黑体" w:hAnsi="黑体" w:eastAsia="黑体" w:cs="宋体"/>
          <w:b w:val="0"/>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spacing w:line="400" w:lineRule="exact"/>
        <w:jc w:val="center"/>
        <w:rPr>
          <w:rStyle w:val="7"/>
          <w:rFonts w:ascii="宋体" w:hAnsi="宋体" w:cs="宋体"/>
          <w:kern w:val="0"/>
          <w:sz w:val="18"/>
          <w:szCs w:val="18"/>
        </w:rPr>
      </w:pPr>
      <w:r>
        <w:rPr>
          <w:rStyle w:val="7"/>
          <w:rFonts w:hint="eastAsia" w:ascii="宋体" w:hAnsi="宋体" w:cs="宋体"/>
          <w:kern w:val="0"/>
          <w:sz w:val="18"/>
          <w:szCs w:val="18"/>
        </w:rPr>
        <w:t>理财非存款、产品有风险、投资须谨慎</w:t>
      </w:r>
    </w:p>
    <w:p>
      <w:pPr>
        <w:spacing w:line="400" w:lineRule="exact"/>
        <w:rPr>
          <w:rStyle w:val="7"/>
          <w:rFonts w:ascii="华文仿宋" w:hAnsi="华文仿宋" w:eastAsia="华文仿宋" w:cs="华文仿宋"/>
          <w:kern w:val="0"/>
          <w:sz w:val="24"/>
          <w:szCs w:val="24"/>
        </w:rPr>
      </w:pPr>
      <w:r>
        <w:rPr>
          <w:rStyle w:val="7"/>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五、在购买理财产品后，投资者应随时关注该理财产品的信息披露情况，及时获取相关信息。可依据本产品登记编码在“中国理财网(www.chinaealth.com.cn)”查询产品信息。</w:t>
      </w:r>
    </w:p>
    <w:p>
      <w:pPr>
        <w:spacing w:line="400" w:lineRule="exact"/>
        <w:rPr>
          <w:rStyle w:val="7"/>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7"/>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7"/>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7"/>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7"/>
                          <w:rFonts w:ascii="宋体" w:hAnsi="宋体" w:cs="宋体"/>
                          <w:b w:val="0"/>
                          <w:bCs w:val="0"/>
                          <w:kern w:val="0"/>
                          <w:szCs w:val="21"/>
                        </w:rPr>
                      </w:pPr>
                      <w:r>
                        <w:rPr>
                          <w:rStyle w:val="7"/>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7"/>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7"/>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p>
      <w:pPr>
        <w:spacing w:line="400" w:lineRule="exact"/>
        <w:rPr>
          <w:rStyle w:val="7"/>
          <w:rFonts w:ascii="宋体" w:hAnsi="宋体" w:cs="宋体"/>
          <w:kern w:val="0"/>
          <w:sz w:val="18"/>
          <w:szCs w:val="18"/>
        </w:rPr>
      </w:pP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20期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rPr>
              <w:t>C136432000001</w:t>
            </w:r>
            <w:r>
              <w:rPr>
                <w:rFonts w:hint="eastAsia" w:ascii="华文仿宋" w:hAnsi="华文仿宋" w:eastAsia="华文仿宋" w:cs="华文仿宋"/>
                <w:bCs/>
                <w:kern w:val="0"/>
                <w:sz w:val="24"/>
                <w:szCs w:val="24"/>
                <w:lang w:val="en-US" w:eastAsia="zh-CN"/>
              </w:rPr>
              <w:t>4</w:t>
            </w:r>
            <w:r>
              <w:rPr>
                <w:rFonts w:hint="eastAsia" w:ascii="华文仿宋" w:hAnsi="华文仿宋" w:eastAsia="华文仿宋" w:cs="华文仿宋"/>
                <w:bCs/>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7"/>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7"/>
                <w:rFonts w:ascii="华文仿宋" w:hAnsi="华文仿宋" w:eastAsia="华文仿宋" w:cs="华文仿宋"/>
                <w:b w:val="0"/>
                <w:bCs w:val="0"/>
                <w:kern w:val="0"/>
                <w:sz w:val="24"/>
                <w:szCs w:val="24"/>
              </w:rPr>
            </w:pPr>
            <w:r>
              <w:rPr>
                <w:rStyle w:val="7"/>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225</w:t>
            </w:r>
            <w:r>
              <w:rPr>
                <w:rFonts w:hint="eastAsia" w:ascii="华文仿宋" w:hAnsi="华文仿宋" w:eastAsia="华文仿宋" w:cs="华文仿宋"/>
                <w:bCs/>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04</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06</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 xml:space="preserve">年 </w:t>
            </w:r>
            <w:r>
              <w:rPr>
                <w:rFonts w:hint="eastAsia" w:ascii="华文仿宋" w:hAnsi="华文仿宋" w:eastAsia="华文仿宋" w:cs="华文仿宋"/>
                <w:bCs/>
                <w:kern w:val="0"/>
                <w:sz w:val="24"/>
                <w:szCs w:val="24"/>
                <w:lang w:val="en-US" w:eastAsia="zh-CN"/>
              </w:rPr>
              <w:t>04</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13</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04</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14</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11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25日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2020</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11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25日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4.25</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4.25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可按照</w:t>
            </w:r>
            <w:r>
              <w:rPr>
                <w:rFonts w:hint="eastAsia" w:ascii="华文仿宋" w:hAnsi="华文仿宋" w:eastAsia="华文仿宋" w:cs="华文仿宋"/>
                <w:bCs/>
                <w:color w:val="auto"/>
                <w:kern w:val="0"/>
                <w:sz w:val="24"/>
                <w:szCs w:val="24"/>
                <w:lang w:val="en-US" w:eastAsia="zh-CN"/>
              </w:rPr>
              <w:t>30</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的比例提取浮动管理费，</w:t>
            </w:r>
            <w:r>
              <w:rPr>
                <w:rFonts w:hint="eastAsia" w:ascii="华文仿宋" w:hAnsi="华文仿宋" w:eastAsia="华文仿宋" w:cs="华文仿宋"/>
                <w:bCs/>
                <w:color w:val="auto"/>
                <w:kern w:val="0"/>
                <w:sz w:val="24"/>
                <w:szCs w:val="24"/>
              </w:rPr>
              <w:t>剩余</w:t>
            </w:r>
            <w:r>
              <w:rPr>
                <w:rFonts w:hint="eastAsia" w:ascii="华文仿宋" w:hAnsi="华文仿宋" w:eastAsia="华文仿宋" w:cs="华文仿宋"/>
                <w:bCs/>
                <w:color w:val="auto"/>
                <w:kern w:val="0"/>
                <w:sz w:val="24"/>
                <w:szCs w:val="24"/>
                <w:lang w:val="en-US" w:eastAsia="zh-CN"/>
              </w:rPr>
              <w:t>部分</w:t>
            </w:r>
            <w:r>
              <w:rPr>
                <w:rFonts w:hint="eastAsia" w:ascii="华文仿宋" w:hAnsi="华文仿宋" w:eastAsia="华文仿宋" w:cs="华文仿宋"/>
                <w:bCs/>
                <w:color w:val="auto"/>
                <w:kern w:val="0"/>
                <w:sz w:val="24"/>
                <w:szCs w:val="24"/>
              </w:rPr>
              <w:t>归客户所有。</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4.25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2"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标准化固定收益类资产：包括但不限于国债、中央银行票据、同业存单、金融债、企业债、公司债、中期票据、短期融资券、超短期融资券、定向债务融资工具（PPN）、资产支持证券、资产支持票据(ABN）及底层资产为上述资产的各类资管计划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各类资产的投资比例为：现金类资产、货币市场工具、货币市场基金和标准化固定收益类资产的比例为80%-100%；其他符合监管要求的资产0%-20%。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2"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2"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2" w:firstLineChars="200"/>
        <w:jc w:val="left"/>
        <w:rPr>
          <w:rFonts w:ascii="华文仿宋" w:hAnsi="华文仿宋" w:eastAsia="华文仿宋" w:cs="华文仿宋"/>
          <w:sz w:val="24"/>
          <w:szCs w:val="24"/>
        </w:rPr>
      </w:pPr>
      <w:r>
        <w:rPr>
          <w:rStyle w:val="7"/>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2" w:firstLineChars="200"/>
        <w:jc w:val="left"/>
        <w:rPr>
          <w:rFonts w:ascii="华文仿宋" w:hAnsi="华文仿宋" w:eastAsia="华文仿宋" w:cs="华文仿宋"/>
          <w:bCs/>
          <w:color w:val="000000"/>
          <w:kern w:val="0"/>
          <w:sz w:val="24"/>
          <w:szCs w:val="24"/>
          <w:lang w:val="en-US" w:eastAsia="zh-CN" w:bidi="ar"/>
        </w:rPr>
      </w:pPr>
      <w:r>
        <w:rPr>
          <w:rStyle w:val="7"/>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36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7"/>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2" w:firstLineChars="200"/>
        <w:jc w:val="left"/>
      </w:pPr>
      <w:r>
        <w:rPr>
          <w:rStyle w:val="7"/>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2" w:firstLineChars="200"/>
        <w:jc w:val="left"/>
        <w:rPr>
          <w:rStyle w:val="7"/>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7"/>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2E02747"/>
    <w:rsid w:val="04AF546C"/>
    <w:rsid w:val="05F9618D"/>
    <w:rsid w:val="06AA54B4"/>
    <w:rsid w:val="084B4A25"/>
    <w:rsid w:val="0A2C2EA4"/>
    <w:rsid w:val="0A8D7997"/>
    <w:rsid w:val="0DCC06A1"/>
    <w:rsid w:val="0DDC7649"/>
    <w:rsid w:val="0E8F6CE4"/>
    <w:rsid w:val="0F2922A6"/>
    <w:rsid w:val="0F344F29"/>
    <w:rsid w:val="0F833DB6"/>
    <w:rsid w:val="12295BA1"/>
    <w:rsid w:val="13BB3D97"/>
    <w:rsid w:val="150B39CF"/>
    <w:rsid w:val="158B366C"/>
    <w:rsid w:val="15D266DB"/>
    <w:rsid w:val="166528F4"/>
    <w:rsid w:val="18307F10"/>
    <w:rsid w:val="19617D23"/>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AB6CFA"/>
    <w:rsid w:val="29C0055D"/>
    <w:rsid w:val="2C35520A"/>
    <w:rsid w:val="2D213277"/>
    <w:rsid w:val="2EC47150"/>
    <w:rsid w:val="2EF04DAC"/>
    <w:rsid w:val="2F41330F"/>
    <w:rsid w:val="2FB06FC7"/>
    <w:rsid w:val="3042169D"/>
    <w:rsid w:val="315437AD"/>
    <w:rsid w:val="33523587"/>
    <w:rsid w:val="33A47907"/>
    <w:rsid w:val="345606AB"/>
    <w:rsid w:val="36872AFD"/>
    <w:rsid w:val="37014554"/>
    <w:rsid w:val="370234D1"/>
    <w:rsid w:val="38596AB4"/>
    <w:rsid w:val="38C75ACE"/>
    <w:rsid w:val="3A332045"/>
    <w:rsid w:val="3A7D3C24"/>
    <w:rsid w:val="3AA376C1"/>
    <w:rsid w:val="3B6E4155"/>
    <w:rsid w:val="3BC03386"/>
    <w:rsid w:val="3C6E7F5C"/>
    <w:rsid w:val="3D4C494C"/>
    <w:rsid w:val="3DFC5C2C"/>
    <w:rsid w:val="3E8A3700"/>
    <w:rsid w:val="3F0A535E"/>
    <w:rsid w:val="3F2040FB"/>
    <w:rsid w:val="409C44FE"/>
    <w:rsid w:val="43121CF7"/>
    <w:rsid w:val="43502D1F"/>
    <w:rsid w:val="43B6405B"/>
    <w:rsid w:val="440540A3"/>
    <w:rsid w:val="446C0B8E"/>
    <w:rsid w:val="45F45948"/>
    <w:rsid w:val="47273A5C"/>
    <w:rsid w:val="47837790"/>
    <w:rsid w:val="48122FCB"/>
    <w:rsid w:val="48C41F58"/>
    <w:rsid w:val="4AA84823"/>
    <w:rsid w:val="4B2E687E"/>
    <w:rsid w:val="4D5765AE"/>
    <w:rsid w:val="50063C66"/>
    <w:rsid w:val="517A1B21"/>
    <w:rsid w:val="51F40E94"/>
    <w:rsid w:val="529E0394"/>
    <w:rsid w:val="52BE53F9"/>
    <w:rsid w:val="557C3BE9"/>
    <w:rsid w:val="56E03574"/>
    <w:rsid w:val="577D4768"/>
    <w:rsid w:val="57E86B41"/>
    <w:rsid w:val="58D4118F"/>
    <w:rsid w:val="59214BFC"/>
    <w:rsid w:val="5A3A65B9"/>
    <w:rsid w:val="5BA85F91"/>
    <w:rsid w:val="5CB41627"/>
    <w:rsid w:val="5F06242E"/>
    <w:rsid w:val="6099040F"/>
    <w:rsid w:val="60D12938"/>
    <w:rsid w:val="63B2608C"/>
    <w:rsid w:val="650134AF"/>
    <w:rsid w:val="650830F4"/>
    <w:rsid w:val="655D0910"/>
    <w:rsid w:val="6640080E"/>
    <w:rsid w:val="66437D7B"/>
    <w:rsid w:val="66915AAB"/>
    <w:rsid w:val="68107BBA"/>
    <w:rsid w:val="6B7F4BCE"/>
    <w:rsid w:val="6C171954"/>
    <w:rsid w:val="6CBE5BCF"/>
    <w:rsid w:val="6D60040F"/>
    <w:rsid w:val="6D9846CE"/>
    <w:rsid w:val="6DC310D5"/>
    <w:rsid w:val="6DF36C1C"/>
    <w:rsid w:val="6EF3563C"/>
    <w:rsid w:val="703C2EBA"/>
    <w:rsid w:val="71847892"/>
    <w:rsid w:val="71961F41"/>
    <w:rsid w:val="71D81222"/>
    <w:rsid w:val="72D23886"/>
    <w:rsid w:val="755906BF"/>
    <w:rsid w:val="75B25B27"/>
    <w:rsid w:val="76EB0BCD"/>
    <w:rsid w:val="77692B6F"/>
    <w:rsid w:val="793244EC"/>
    <w:rsid w:val="79E1288F"/>
    <w:rsid w:val="7CAB3AE1"/>
    <w:rsid w:val="7CE36EC9"/>
    <w:rsid w:val="7D0C1DD9"/>
    <w:rsid w:val="7D7F45E5"/>
    <w:rsid w:val="7E5F744D"/>
    <w:rsid w:val="7EB1250B"/>
    <w:rsid w:val="7F393C3F"/>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styleId="8">
    <w:name w:val="Hyperlink"/>
    <w:basedOn w:val="6"/>
    <w:unhideWhenUsed/>
    <w:qFormat/>
    <w:uiPriority w:val="99"/>
    <w:rPr>
      <w:color w:val="0000FF"/>
      <w:u w:val="single"/>
    </w:rPr>
  </w:style>
  <w:style w:type="table" w:styleId="10">
    <w:name w:val="Table Grid"/>
    <w:basedOn w:val="9"/>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6"/>
    <w:link w:val="4"/>
    <w:semiHidden/>
    <w:qFormat/>
    <w:uiPriority w:val="99"/>
    <w:rPr>
      <w:rFonts w:ascii="Times New Roman" w:hAnsi="Times New Roman"/>
      <w:sz w:val="18"/>
      <w:szCs w:val="18"/>
    </w:rPr>
  </w:style>
  <w:style w:type="character" w:customStyle="1" w:styleId="12">
    <w:name w:val="页脚 Char"/>
    <w:basedOn w:val="6"/>
    <w:link w:val="3"/>
    <w:qFormat/>
    <w:uiPriority w:val="99"/>
    <w:rPr>
      <w:rFonts w:ascii="Times New Roman" w:hAnsi="Times New Roman"/>
      <w:sz w:val="18"/>
      <w:szCs w:val="18"/>
    </w:rPr>
  </w:style>
  <w:style w:type="character" w:customStyle="1" w:styleId="13">
    <w:name w:val="fontstyle01"/>
    <w:basedOn w:val="6"/>
    <w:qFormat/>
    <w:uiPriority w:val="0"/>
    <w:rPr>
      <w:rFonts w:hint="eastAsia" w:ascii="宋体" w:hAnsi="宋体" w:eastAsia="宋体" w:cs="宋体"/>
      <w:color w:val="000000"/>
      <w:sz w:val="22"/>
      <w:szCs w:val="22"/>
    </w:rPr>
  </w:style>
  <w:style w:type="character" w:customStyle="1" w:styleId="14">
    <w:name w:val="fontstyle11"/>
    <w:basedOn w:val="6"/>
    <w:qFormat/>
    <w:uiPriority w:val="0"/>
    <w:rPr>
      <w:rFonts w:ascii="仿宋" w:hAnsi="仿宋" w:eastAsia="仿宋" w:cs="仿宋"/>
      <w:color w:val="000000"/>
      <w:sz w:val="22"/>
      <w:szCs w:val="22"/>
    </w:rPr>
  </w:style>
  <w:style w:type="character" w:customStyle="1" w:styleId="15">
    <w:name w:val="批注框文本 Char"/>
    <w:basedOn w:val="6"/>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938</Words>
  <Characters>5352</Characters>
  <Lines>44</Lines>
  <Paragraphs>12</Paragraphs>
  <ScaleCrop>false</ScaleCrop>
  <LinksUpToDate>false</LinksUpToDate>
  <CharactersWithSpaces>6278</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2020-03-26T12:13:48Z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