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Style w:val="7"/>
          <w:rFonts w:hint="eastAsia" w:ascii="方正大黑简体" w:hAnsi="宋体" w:eastAsia="方正大黑简体" w:cs="宋体"/>
          <w:kern w:val="0"/>
          <w:sz w:val="32"/>
          <w:szCs w:val="32"/>
        </w:rPr>
      </w:pPr>
      <w:r>
        <w:rPr>
          <w:rStyle w:val="7"/>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rPr>
          <w:rStyle w:val="7"/>
          <w:rFonts w:hint="eastAsia" w:ascii="方正大黑简体" w:hAnsi="宋体" w:eastAsia="方正大黑简体" w:cs="宋体"/>
          <w:kern w:val="0"/>
          <w:sz w:val="32"/>
          <w:szCs w:val="32"/>
        </w:rPr>
      </w:pPr>
      <w:r>
        <w:rPr>
          <w:rStyle w:val="7"/>
          <w:rFonts w:hint="eastAsia" w:ascii="宋体" w:hAnsi="宋体" w:cs="宋体"/>
          <w:kern w:val="0"/>
          <w:sz w:val="18"/>
          <w:szCs w:val="18"/>
        </w:rPr>
        <w:t>理财产品过往业绩不代表其未来表现，不等于理财产品实际收益</w:t>
      </w:r>
    </w:p>
    <w:p>
      <w:pPr>
        <w:spacing w:line="360" w:lineRule="exact"/>
        <w:jc w:val="center"/>
      </w:pPr>
      <w:r>
        <w:rPr>
          <w:rStyle w:val="7"/>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7"/>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7"/>
          <w:rFonts w:ascii="宋体" w:hAnsi="宋体" w:cs="宋体"/>
          <w:sz w:val="18"/>
          <w:szCs w:val="18"/>
        </w:rPr>
        <w:t>1</w:t>
      </w:r>
      <w:r>
        <w:rPr>
          <w:rStyle w:val="7"/>
          <w:rFonts w:hint="eastAsia" w:ascii="宋体" w:hAnsi="宋体" w:cs="宋体"/>
          <w:sz w:val="18"/>
          <w:szCs w:val="18"/>
        </w:rPr>
        <w:t>、信用风险</w:t>
      </w:r>
      <w:r>
        <w:rPr>
          <w:rStyle w:val="7"/>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7"/>
          <w:rFonts w:ascii="宋体" w:hAnsi="宋体" w:cs="宋体"/>
          <w:sz w:val="18"/>
          <w:szCs w:val="18"/>
        </w:rPr>
        <w:t>2</w:t>
      </w:r>
      <w:r>
        <w:rPr>
          <w:rStyle w:val="7"/>
          <w:rFonts w:hint="eastAsia" w:ascii="宋体" w:hAnsi="宋体" w:cs="宋体"/>
          <w:sz w:val="18"/>
          <w:szCs w:val="18"/>
        </w:rPr>
        <w:t>、</w:t>
      </w:r>
      <w:r>
        <w:rPr>
          <w:rStyle w:val="7"/>
          <w:rFonts w:ascii="宋体" w:hAnsi="宋体" w:cs="宋体"/>
          <w:sz w:val="18"/>
          <w:szCs w:val="18"/>
        </w:rPr>
        <w:t xml:space="preserve"> </w:t>
      </w:r>
      <w:r>
        <w:rPr>
          <w:rStyle w:val="7"/>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7"/>
          <w:rFonts w:ascii="宋体" w:hAnsi="宋体" w:cs="宋体"/>
          <w:sz w:val="18"/>
          <w:szCs w:val="18"/>
        </w:rPr>
        <w:t>3</w:t>
      </w:r>
      <w:r>
        <w:rPr>
          <w:rStyle w:val="7"/>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7"/>
          <w:rFonts w:ascii="宋体" w:hAnsi="宋体" w:cs="仿宋_GB2312"/>
          <w:sz w:val="18"/>
          <w:szCs w:val="18"/>
        </w:rPr>
        <w:t>4</w:t>
      </w:r>
      <w:r>
        <w:rPr>
          <w:rStyle w:val="7"/>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7"/>
          <w:rFonts w:ascii="宋体" w:hAnsi="宋体" w:cs="宋体"/>
          <w:sz w:val="18"/>
          <w:szCs w:val="18"/>
        </w:rPr>
        <w:t>5</w:t>
      </w:r>
      <w:r>
        <w:rPr>
          <w:rStyle w:val="7"/>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7"/>
          <w:rFonts w:ascii="宋体" w:hAnsi="宋体" w:cs="仿宋_GB2312"/>
          <w:sz w:val="18"/>
          <w:szCs w:val="18"/>
        </w:rPr>
        <w:t>6</w:t>
      </w:r>
      <w:r>
        <w:rPr>
          <w:rStyle w:val="7"/>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7"/>
          <w:rFonts w:ascii="宋体" w:hAnsi="宋体" w:cs="宋体"/>
          <w:sz w:val="18"/>
          <w:szCs w:val="18"/>
        </w:rPr>
        <w:t>7</w:t>
      </w:r>
      <w:r>
        <w:rPr>
          <w:rStyle w:val="7"/>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w:t>
      </w:r>
      <w:bookmarkStart w:id="0" w:name="_GoBack"/>
      <w:bookmarkEnd w:id="0"/>
      <w:r>
        <w:rPr>
          <w:rFonts w:hint="eastAsia" w:ascii="宋体" w:hAnsi="宋体" w:cs="仿宋_GB2312"/>
          <w:sz w:val="18"/>
          <w:szCs w:val="18"/>
        </w:rPr>
        <w:t>有效联系方式变更但未及时告知新疆银行的，致使在需要联系投资者时无法及时联系并可能会由此影响投资者的投资决策，由此而产生的责任和风险由客户自行承担。</w:t>
      </w:r>
    </w:p>
    <w:p>
      <w:pPr>
        <w:widowControl/>
        <w:jc w:val="left"/>
      </w:pPr>
      <w:r>
        <w:rPr>
          <w:rStyle w:val="7"/>
          <w:rFonts w:ascii="宋体" w:hAnsi="宋体" w:cs="宋体"/>
          <w:kern w:val="0"/>
          <w:sz w:val="18"/>
          <w:szCs w:val="18"/>
        </w:rPr>
        <w:t>8</w:t>
      </w:r>
      <w:r>
        <w:rPr>
          <w:rStyle w:val="7"/>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7"/>
          <w:rFonts w:ascii="宋体" w:hAnsi="宋体" w:cs="宋体"/>
          <w:sz w:val="18"/>
          <w:szCs w:val="18"/>
        </w:rPr>
        <w:t>9</w:t>
      </w:r>
      <w:r>
        <w:rPr>
          <w:rStyle w:val="7"/>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7"/>
          <w:rFonts w:ascii="宋体" w:hAnsi="宋体" w:cs="宋体"/>
          <w:sz w:val="18"/>
          <w:szCs w:val="18"/>
        </w:rPr>
        <w:t>10</w:t>
      </w:r>
      <w:r>
        <w:rPr>
          <w:rStyle w:val="7"/>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7"/>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7"/>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7"/>
          <w:rFonts w:ascii="宋体" w:cs="Arial"/>
          <w:kern w:val="0"/>
          <w:sz w:val="18"/>
          <w:szCs w:val="18"/>
        </w:rPr>
        <w:t> </w:t>
      </w:r>
    </w:p>
    <w:p>
      <w:pPr>
        <w:widowControl/>
        <w:jc w:val="center"/>
        <w:rPr>
          <w:rStyle w:val="7"/>
          <w:rFonts w:ascii="宋体" w:cs="Arial"/>
          <w:kern w:val="0"/>
          <w:sz w:val="18"/>
          <w:szCs w:val="18"/>
        </w:rPr>
      </w:pPr>
      <w:r>
        <w:pict>
          <v:shape id="_x0000_s1026" o:spid="_x0000_s1026" o:spt="202" type="#_x0000_t202" style="position:absolute;left:0pt;margin-left:8.85pt;margin-top:0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7"/>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7"/>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p>
                <w:p>
                  <w:pPr>
                    <w:spacing w:line="400" w:lineRule="exact"/>
                    <w:ind w:left="360"/>
                    <w:rPr>
                      <w:rFonts w:ascii="宋体" w:cs="Arial"/>
                      <w:sz w:val="18"/>
                      <w:szCs w:val="18"/>
                    </w:rPr>
                  </w:pPr>
                  <w:r>
                    <w:rPr>
                      <w:rFonts w:hint="eastAsia" w:ascii="宋体" w:hAnsi="宋体" w:cs="Arial"/>
                      <w:sz w:val="18"/>
                      <w:szCs w:val="18"/>
                    </w:rPr>
                    <w:t>□谨慎型、□稳健型、□平衡型、□进取型、□激进型</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1FC663F9"/>
    <w:rsid w:val="39462934"/>
    <w:rsid w:val="4B0A7B5E"/>
    <w:rsid w:val="573B4DD6"/>
    <w:rsid w:val="61E810E0"/>
    <w:rsid w:val="62B76D1B"/>
    <w:rsid w:val="67206C6E"/>
    <w:rsid w:val="6DD8794D"/>
    <w:rsid w:val="7D92663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sz w:val="18"/>
      <w:szCs w:val="18"/>
    </w:rPr>
  </w:style>
  <w:style w:type="character" w:customStyle="1" w:styleId="9">
    <w:name w:val="页脚 Char"/>
    <w:basedOn w:val="6"/>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TotalTime>0</TotalTime>
  <ScaleCrop>false</ScaleCrop>
  <LinksUpToDate>false</LinksUpToDate>
  <CharactersWithSpaces>2302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XJBANK</cp:lastModifiedBy>
  <dcterms:modified xsi:type="dcterms:W3CDTF">2020-03-04T09:18:21Z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