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65E" w:rsidRDefault="00322ACD">
      <w:pPr>
        <w:pStyle w:val="a3"/>
        <w:spacing w:line="93" w:lineRule="exact"/>
        <w:ind w:left="5453"/>
        <w:rPr>
          <w:rFonts w:ascii="Times New Roman"/>
          <w:sz w:val="9"/>
        </w:rPr>
      </w:pPr>
      <w:bookmarkStart w:id="0" w:name="_GoBack"/>
      <w:bookmarkEnd w:id="0"/>
      <w:r>
        <w:rPr>
          <w:noProof/>
          <w:lang w:val="en-US" w:bidi="ar-SA"/>
        </w:rPr>
        <w:drawing>
          <wp:anchor distT="0" distB="0" distL="0" distR="0" simplePos="0" relativeHeight="251642880" behindDoc="0" locked="0" layoutInCell="1" allowOverlap="1">
            <wp:simplePos x="0" y="0"/>
            <wp:positionH relativeFrom="page">
              <wp:posOffset>7448550</wp:posOffset>
            </wp:positionH>
            <wp:positionV relativeFrom="page">
              <wp:posOffset>8128635</wp:posOffset>
            </wp:positionV>
            <wp:extent cx="106045" cy="305435"/>
            <wp:effectExtent l="0" t="0" r="0" b="0"/>
            <wp:wrapNone/>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5.png"/>
                    <pic:cNvPicPr>
                      <a:picLocks noChangeAspect="1"/>
                    </pic:cNvPicPr>
                  </pic:nvPicPr>
                  <pic:blipFill>
                    <a:blip r:embed="rId8" cstate="print"/>
                    <a:stretch>
                      <a:fillRect/>
                    </a:stretch>
                  </pic:blipFill>
                  <pic:spPr>
                    <a:xfrm>
                      <a:off x="0" y="0"/>
                      <a:ext cx="106358" cy="305121"/>
                    </a:xfrm>
                    <a:prstGeom prst="rect">
                      <a:avLst/>
                    </a:prstGeom>
                  </pic:spPr>
                </pic:pic>
              </a:graphicData>
            </a:graphic>
          </wp:anchor>
        </w:drawing>
      </w:r>
      <w:r>
        <w:rPr>
          <w:noProof/>
          <w:lang w:val="en-US" w:bidi="ar-SA"/>
        </w:rPr>
        <w:drawing>
          <wp:anchor distT="0" distB="0" distL="0" distR="0" simplePos="0" relativeHeight="251643904" behindDoc="0" locked="0" layoutInCell="1" allowOverlap="1">
            <wp:simplePos x="0" y="0"/>
            <wp:positionH relativeFrom="page">
              <wp:posOffset>7538085</wp:posOffset>
            </wp:positionH>
            <wp:positionV relativeFrom="page">
              <wp:posOffset>5495290</wp:posOffset>
            </wp:positionV>
            <wp:extent cx="19685" cy="49530"/>
            <wp:effectExtent l="0" t="0" r="0" b="0"/>
            <wp:wrapNone/>
            <wp:docPr id="1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png"/>
                    <pic:cNvPicPr>
                      <a:picLocks noChangeAspect="1"/>
                    </pic:cNvPicPr>
                  </pic:nvPicPr>
                  <pic:blipFill>
                    <a:blip r:embed="rId9" cstate="print"/>
                    <a:stretch>
                      <a:fillRect/>
                    </a:stretch>
                  </pic:blipFill>
                  <pic:spPr>
                    <a:xfrm>
                      <a:off x="0" y="0"/>
                      <a:ext cx="19459" cy="49325"/>
                    </a:xfrm>
                    <a:prstGeom prst="rect">
                      <a:avLst/>
                    </a:prstGeom>
                  </pic:spPr>
                </pic:pic>
              </a:graphicData>
            </a:graphic>
          </wp:anchor>
        </w:drawing>
      </w:r>
      <w:r>
        <w:rPr>
          <w:rFonts w:ascii="Times New Roman"/>
          <w:noProof/>
          <w:position w:val="-1"/>
          <w:sz w:val="9"/>
          <w:lang w:val="en-US" w:bidi="ar-SA"/>
        </w:rPr>
        <w:drawing>
          <wp:inline distT="0" distB="0" distL="0" distR="0">
            <wp:extent cx="165100" cy="59055"/>
            <wp:effectExtent l="0" t="0" r="0" b="0"/>
            <wp:docPr id="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8.png"/>
                    <pic:cNvPicPr>
                      <a:picLocks noChangeAspect="1"/>
                    </pic:cNvPicPr>
                  </pic:nvPicPr>
                  <pic:blipFill>
                    <a:blip r:embed="rId10" cstate="print"/>
                    <a:stretch>
                      <a:fillRect/>
                    </a:stretch>
                  </pic:blipFill>
                  <pic:spPr>
                    <a:xfrm>
                      <a:off x="0" y="0"/>
                      <a:ext cx="165159" cy="59435"/>
                    </a:xfrm>
                    <a:prstGeom prst="rect">
                      <a:avLst/>
                    </a:prstGeom>
                  </pic:spPr>
                </pic:pic>
              </a:graphicData>
            </a:graphic>
          </wp:inline>
        </w:drawing>
      </w:r>
    </w:p>
    <w:p w:rsidR="00AE265E" w:rsidRDefault="00AE265E">
      <w:pPr>
        <w:pStyle w:val="a3"/>
        <w:rPr>
          <w:rFonts w:ascii="Times New Roman"/>
          <w:sz w:val="20"/>
        </w:rPr>
      </w:pPr>
    </w:p>
    <w:p w:rsidR="00AE265E" w:rsidRDefault="00AE265E">
      <w:pPr>
        <w:pStyle w:val="a3"/>
        <w:rPr>
          <w:rFonts w:ascii="Times New Roman"/>
          <w:sz w:val="20"/>
        </w:rPr>
      </w:pPr>
    </w:p>
    <w:p w:rsidR="00AE265E" w:rsidRDefault="00322ACD">
      <w:pPr>
        <w:spacing w:before="222"/>
        <w:ind w:left="3392"/>
        <w:rPr>
          <w:rFonts w:ascii="宋体" w:eastAsia="宋体"/>
          <w:color w:val="231F20"/>
          <w:sz w:val="32"/>
        </w:rPr>
      </w:pPr>
      <w:r>
        <w:rPr>
          <w:rFonts w:ascii="宋体" w:eastAsia="宋体" w:hint="eastAsia"/>
          <w:color w:val="231F20"/>
          <w:sz w:val="32"/>
        </w:rPr>
        <w:t>新疆银行人民币个人理财产品说明书</w:t>
      </w:r>
    </w:p>
    <w:p w:rsidR="00AE265E" w:rsidRDefault="00322ACD">
      <w:pPr>
        <w:spacing w:line="360" w:lineRule="exact"/>
        <w:jc w:val="center"/>
        <w:rPr>
          <w:rFonts w:ascii="宋体" w:eastAsia="宋体"/>
          <w:color w:val="231F20"/>
          <w:sz w:val="32"/>
        </w:rPr>
      </w:pPr>
      <w:r>
        <w:rPr>
          <w:rStyle w:val="aa"/>
          <w:rFonts w:ascii="宋体" w:hAnsi="宋体" w:cs="宋体" w:hint="eastAsia"/>
          <w:sz w:val="18"/>
          <w:szCs w:val="18"/>
        </w:rPr>
        <w:t>理财产品过往业绩不代表其未来表现，不等于理财产品实际收益</w:t>
      </w:r>
      <w:r>
        <w:rPr>
          <w:rStyle w:val="aa"/>
          <w:rFonts w:cs="宋体"/>
          <w:bCs w:val="0"/>
          <w:sz w:val="18"/>
          <w:szCs w:val="18"/>
        </w:rPr>
        <w:t xml:space="preserve"> </w:t>
      </w:r>
    </w:p>
    <w:p w:rsidR="00AE265E" w:rsidRDefault="00322ACD">
      <w:pPr>
        <w:pStyle w:val="a3"/>
        <w:spacing w:before="36" w:line="247" w:lineRule="exact"/>
        <w:ind w:left="5517"/>
      </w:pPr>
      <w:r>
        <w:t>特别风险提示</w:t>
      </w:r>
    </w:p>
    <w:p w:rsidR="00AE265E" w:rsidRDefault="00322ACD" w:rsidP="00322ACD">
      <w:pPr>
        <w:pStyle w:val="a3"/>
        <w:tabs>
          <w:tab w:val="left" w:pos="8660"/>
        </w:tabs>
        <w:spacing w:line="243" w:lineRule="exact"/>
        <w:ind w:left="890"/>
      </w:pPr>
      <w:r>
        <w:rPr>
          <w:rFonts w:ascii="宋体" w:eastAsia="宋体" w:hAnsi="宋体" w:hint="eastAsia"/>
        </w:rPr>
        <w:t>★</w:t>
      </w:r>
      <w:r>
        <w:rPr>
          <w:rFonts w:ascii="宋体" w:eastAsia="宋体" w:hAnsi="宋体" w:hint="eastAsia"/>
        </w:rPr>
        <w:t xml:space="preserve"> </w:t>
      </w:r>
      <w:r>
        <w:t>银行销售的理财产品与存款存在明显区别，理财非存款、产品有风险、投资须谨慎。</w:t>
      </w:r>
      <w:r>
        <w:tab/>
      </w:r>
    </w:p>
    <w:p w:rsidR="00AE265E" w:rsidRDefault="00322ACD">
      <w:pPr>
        <w:pStyle w:val="a3"/>
        <w:spacing w:before="1" w:line="232" w:lineRule="auto"/>
        <w:ind w:left="1115" w:right="678" w:hanging="225"/>
        <w:jc w:val="both"/>
      </w:pPr>
      <w:r>
        <w:rPr>
          <w:rFonts w:ascii="宋体" w:eastAsia="宋体" w:hAnsi="宋体" w:hint="eastAsia"/>
          <w:spacing w:val="16"/>
        </w:rPr>
        <w:t>★</w:t>
      </w:r>
      <w:r>
        <w:rPr>
          <w:rFonts w:ascii="宋体" w:eastAsia="宋体" w:hAnsi="宋体" w:hint="eastAsia"/>
          <w:spacing w:val="16"/>
        </w:rPr>
        <w:t xml:space="preserve"> </w:t>
      </w:r>
      <w:r>
        <w:rPr>
          <w:spacing w:val="-12"/>
        </w:rPr>
        <w:t>本产品为非保本浮动收益型产品，新疆银行理财产品内部风险评级为稳健类，面向具有一定风险承受能力的有、无投资经验客户销</w:t>
      </w:r>
      <w:r>
        <w:t>售。</w:t>
      </w:r>
    </w:p>
    <w:p w:rsidR="00AE265E" w:rsidRDefault="00322ACD">
      <w:pPr>
        <w:pStyle w:val="a3"/>
        <w:spacing w:line="232" w:lineRule="auto"/>
        <w:ind w:left="1115" w:right="678" w:hanging="225"/>
        <w:jc w:val="both"/>
      </w:pPr>
      <w:r>
        <w:rPr>
          <w:rFonts w:ascii="宋体" w:eastAsia="宋体" w:hAnsi="宋体" w:hint="eastAsia"/>
          <w:spacing w:val="15"/>
        </w:rPr>
        <w:t>★</w:t>
      </w:r>
      <w:r>
        <w:rPr>
          <w:rFonts w:ascii="宋体" w:eastAsia="宋体" w:hAnsi="宋体" w:hint="eastAsia"/>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w:t>
      </w:r>
      <w:proofErr w:type="gramStart"/>
      <w:r>
        <w:rPr>
          <w:spacing w:val="-9"/>
        </w:rPr>
        <w:t>书风险</w:t>
      </w:r>
      <w:proofErr w:type="gramEnd"/>
      <w:r>
        <w:rPr>
          <w:spacing w:val="-9"/>
        </w:rPr>
        <w:t>揭示的内容，基于自身的独立判断进行投资决策。</w:t>
      </w:r>
    </w:p>
    <w:p w:rsidR="00AE265E" w:rsidRDefault="00322ACD">
      <w:pPr>
        <w:pStyle w:val="a3"/>
        <w:spacing w:line="232" w:lineRule="auto"/>
        <w:ind w:left="1115" w:right="678" w:hanging="225"/>
        <w:jc w:val="both"/>
      </w:pPr>
      <w:r>
        <w:rPr>
          <w:rFonts w:ascii="宋体" w:eastAsia="宋体" w:hAnsi="宋体" w:hint="eastAsia"/>
          <w:spacing w:val="15"/>
        </w:rPr>
        <w:t>★</w:t>
      </w:r>
      <w:r>
        <w:rPr>
          <w:rFonts w:ascii="宋体" w:eastAsia="宋体" w:hAnsi="宋体" w:hint="eastAsia"/>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rsidR="00AE265E" w:rsidRDefault="00322ACD">
      <w:pPr>
        <w:pStyle w:val="a3"/>
        <w:spacing w:line="232" w:lineRule="auto"/>
        <w:ind w:left="1115" w:right="678" w:hanging="225"/>
        <w:jc w:val="both"/>
      </w:pPr>
      <w:r>
        <w:rPr>
          <w:rFonts w:ascii="宋体" w:eastAsia="宋体" w:hAnsi="宋体" w:hint="eastAsia"/>
          <w:spacing w:val="-7"/>
        </w:rPr>
        <w:t>★</w:t>
      </w:r>
      <w:r>
        <w:rPr>
          <w:rFonts w:ascii="宋体" w:eastAsia="宋体" w:hAnsi="宋体" w:hint="eastAsia"/>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w:t>
      </w:r>
      <w:proofErr w:type="gramStart"/>
      <w:r>
        <w:rPr>
          <w:spacing w:val="-20"/>
        </w:rPr>
        <w:t>您风险</w:t>
      </w:r>
      <w:proofErr w:type="gramEnd"/>
      <w:r>
        <w:rPr>
          <w:spacing w:val="-20"/>
        </w:rPr>
        <w:t>承受能力的因素发生变化，请及时完成风险承受能力评估。</w:t>
      </w:r>
    </w:p>
    <w:p w:rsidR="00AE265E" w:rsidRDefault="00322ACD">
      <w:pPr>
        <w:pStyle w:val="a3"/>
        <w:spacing w:line="232" w:lineRule="auto"/>
        <w:ind w:left="1115" w:right="678" w:hanging="225"/>
        <w:jc w:val="both"/>
      </w:pPr>
      <w:r>
        <w:rPr>
          <w:rFonts w:ascii="宋体" w:eastAsia="宋体" w:hAnsi="宋体" w:hint="eastAsia"/>
          <w:spacing w:val="-20"/>
        </w:rPr>
        <w:t>★</w:t>
      </w:r>
      <w:r>
        <w:rPr>
          <w:rFonts w:ascii="宋体" w:eastAsia="宋体" w:hAnsi="宋体" w:hint="eastAsia"/>
          <w:spacing w:val="-20"/>
        </w:rPr>
        <w:t xml:space="preserve"> </w:t>
      </w:r>
      <w:r>
        <w:rPr>
          <w:spacing w:val="-8"/>
        </w:rPr>
        <w:t>投资者对本</w:t>
      </w:r>
      <w:r>
        <w:rPr>
          <w:spacing w:val="-8"/>
        </w:rPr>
        <w:t>理财产品说明书的内容有任何疑问，请向新疆银行咨询。在购买本理财产品后，投资者应随时关注该理财产品的信息披</w:t>
      </w:r>
      <w:r>
        <w:rPr>
          <w:spacing w:val="-12"/>
        </w:rPr>
        <w:t>露情况，及时获取相关信息。</w:t>
      </w:r>
    </w:p>
    <w:p w:rsidR="00AE265E" w:rsidRDefault="00322ACD">
      <w:pPr>
        <w:pStyle w:val="a3"/>
        <w:spacing w:line="240" w:lineRule="exact"/>
        <w:ind w:left="890"/>
      </w:pPr>
      <w:r>
        <w:rPr>
          <w:rFonts w:ascii="宋体" w:eastAsia="宋体" w:hAnsi="宋体" w:hint="eastAsia"/>
        </w:rPr>
        <w:t>★</w:t>
      </w:r>
      <w:r>
        <w:rPr>
          <w:rFonts w:ascii="宋体" w:eastAsia="宋体" w:hAnsi="宋体" w:hint="eastAsia"/>
        </w:rPr>
        <w:t xml:space="preserve"> </w:t>
      </w:r>
      <w:r>
        <w:t>在我行任意网点购买理财产品，需在理财专区进行</w:t>
      </w:r>
      <w:r>
        <w:t>“</w:t>
      </w:r>
      <w:r>
        <w:t>双录</w:t>
      </w:r>
      <w:r>
        <w:t>”</w:t>
      </w:r>
      <w:r>
        <w:t>后购买。</w:t>
      </w:r>
    </w:p>
    <w:p w:rsidR="00AE265E" w:rsidRDefault="00322ACD">
      <w:pPr>
        <w:pStyle w:val="a3"/>
        <w:spacing w:after="22" w:line="226" w:lineRule="exact"/>
        <w:ind w:left="1040"/>
        <w:rPr>
          <w:rFonts w:ascii="宋体" w:eastAsia="宋体"/>
        </w:rPr>
      </w:pPr>
      <w:r>
        <w:rPr>
          <w:rFonts w:ascii="宋体" w:eastAsia="宋体" w:hint="eastAsia"/>
          <w:color w:val="231F20"/>
        </w:rPr>
        <w:t>一、产品概述</w:t>
      </w:r>
    </w:p>
    <w:tbl>
      <w:tblPr>
        <w:tblW w:w="10503" w:type="dxa"/>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31"/>
        <w:gridCol w:w="8972"/>
      </w:tblGrid>
      <w:tr w:rsidR="00AE265E">
        <w:trPr>
          <w:trHeight w:val="330"/>
        </w:trPr>
        <w:tc>
          <w:tcPr>
            <w:tcW w:w="1531" w:type="dxa"/>
          </w:tcPr>
          <w:p w:rsidR="00AE265E" w:rsidRDefault="00322ACD">
            <w:pPr>
              <w:pStyle w:val="TableParagraph"/>
              <w:ind w:right="106"/>
              <w:jc w:val="center"/>
              <w:rPr>
                <w:sz w:val="18"/>
              </w:rPr>
            </w:pPr>
            <w:r>
              <w:rPr>
                <w:color w:val="231F20"/>
                <w:sz w:val="18"/>
              </w:rPr>
              <w:t>产品名称</w:t>
            </w:r>
          </w:p>
        </w:tc>
        <w:tc>
          <w:tcPr>
            <w:tcW w:w="8972" w:type="dxa"/>
          </w:tcPr>
          <w:p w:rsidR="00AE265E" w:rsidRDefault="00322ACD">
            <w:pPr>
              <w:pStyle w:val="TableParagraph"/>
              <w:tabs>
                <w:tab w:val="left" w:pos="5220"/>
              </w:tabs>
              <w:ind w:left="107"/>
              <w:rPr>
                <w:sz w:val="18"/>
              </w:rPr>
            </w:pPr>
            <w:r>
              <w:rPr>
                <w:color w:val="231F20"/>
                <w:sz w:val="18"/>
              </w:rPr>
              <w:t>新疆银行</w:t>
            </w:r>
            <w:r>
              <w:rPr>
                <w:rFonts w:eastAsia="宋体" w:hint="eastAsia"/>
                <w:color w:val="231F20"/>
                <w:sz w:val="18"/>
                <w:u w:val="single" w:color="000000"/>
                <w:lang w:val="en-US"/>
              </w:rPr>
              <w:t xml:space="preserve">                  </w:t>
            </w:r>
            <w:r>
              <w:rPr>
                <w:rFonts w:eastAsia="宋体" w:hint="eastAsia"/>
                <w:color w:val="231F20"/>
                <w:sz w:val="18"/>
                <w:u w:val="single" w:color="000000"/>
                <w:lang w:val="en-US"/>
              </w:rPr>
              <w:t>金胡杨</w:t>
            </w:r>
            <w:r>
              <w:rPr>
                <w:rFonts w:eastAsia="宋体" w:hint="eastAsia"/>
                <w:color w:val="231F20"/>
                <w:sz w:val="18"/>
                <w:u w:val="single" w:color="000000"/>
                <w:lang w:val="en-US"/>
              </w:rPr>
              <w:t>57</w:t>
            </w:r>
            <w:r>
              <w:rPr>
                <w:rFonts w:eastAsia="宋体" w:hint="eastAsia"/>
                <w:color w:val="231F20"/>
                <w:sz w:val="18"/>
                <w:u w:val="single" w:color="000000"/>
                <w:lang w:val="en-US"/>
              </w:rPr>
              <w:t>号</w:t>
            </w:r>
            <w:r>
              <w:rPr>
                <w:color w:val="231F20"/>
                <w:sz w:val="18"/>
                <w:u w:val="single" w:color="000000"/>
              </w:rPr>
              <w:tab/>
            </w:r>
            <w:r>
              <w:rPr>
                <w:color w:val="231F20"/>
                <w:sz w:val="18"/>
              </w:rPr>
              <w:t>人民币个人理财产品</w:t>
            </w:r>
          </w:p>
        </w:tc>
      </w:tr>
      <w:tr w:rsidR="00AE265E">
        <w:trPr>
          <w:trHeight w:val="330"/>
        </w:trPr>
        <w:tc>
          <w:tcPr>
            <w:tcW w:w="1531" w:type="dxa"/>
          </w:tcPr>
          <w:p w:rsidR="00AE265E" w:rsidRDefault="00322ACD">
            <w:pPr>
              <w:pStyle w:val="TableParagraph"/>
              <w:ind w:right="106"/>
              <w:jc w:val="center"/>
              <w:rPr>
                <w:sz w:val="18"/>
              </w:rPr>
            </w:pPr>
            <w:r>
              <w:rPr>
                <w:color w:val="231F20"/>
                <w:sz w:val="18"/>
              </w:rPr>
              <w:t>产品登记编码</w:t>
            </w:r>
          </w:p>
        </w:tc>
        <w:tc>
          <w:tcPr>
            <w:tcW w:w="8972" w:type="dxa"/>
          </w:tcPr>
          <w:p w:rsidR="00AE265E" w:rsidRDefault="00322ACD">
            <w:pPr>
              <w:pStyle w:val="TableParagraph"/>
              <w:ind w:left="0"/>
              <w:rPr>
                <w:sz w:val="18"/>
                <w:lang w:val="en-US"/>
              </w:rPr>
            </w:pPr>
            <w:r>
              <w:rPr>
                <w:rFonts w:eastAsia="宋体" w:hint="eastAsia"/>
                <w:color w:val="231F20"/>
                <w:sz w:val="18"/>
                <w:lang w:val="en-US"/>
              </w:rPr>
              <w:t xml:space="preserve"> </w:t>
            </w:r>
            <w:r>
              <w:rPr>
                <w:color w:val="231F20"/>
                <w:sz w:val="18"/>
              </w:rPr>
              <w:t>C1364320000005</w:t>
            </w:r>
            <w:r>
              <w:rPr>
                <w:rFonts w:ascii="宋体" w:eastAsia="宋体" w:hAnsi="宋体" w:cs="宋体"/>
                <w:sz w:val="24"/>
                <w:szCs w:val="24"/>
              </w:rPr>
              <w:t xml:space="preserve"> </w:t>
            </w:r>
            <w:r>
              <w:rPr>
                <w:rFonts w:eastAsia="宋体" w:hint="eastAsia"/>
                <w:color w:val="231F20"/>
                <w:sz w:val="18"/>
                <w:lang w:val="en-US"/>
              </w:rPr>
              <w:t>(</w:t>
            </w:r>
            <w:r>
              <w:rPr>
                <w:color w:val="231F20"/>
                <w:sz w:val="18"/>
              </w:rPr>
              <w:t>您可依据该信息在中国</w:t>
            </w:r>
            <w:proofErr w:type="gramStart"/>
            <w:r>
              <w:rPr>
                <w:color w:val="231F20"/>
                <w:sz w:val="18"/>
              </w:rPr>
              <w:t>理财网</w:t>
            </w:r>
            <w:proofErr w:type="gramEnd"/>
            <w:r>
              <w:fldChar w:fldCharType="begin"/>
            </w:r>
            <w:r>
              <w:instrText xml:space="preserve"> HYPERLINK "http://www.chinawealth.com.cn/" \h </w:instrText>
            </w:r>
            <w:r>
              <w:fldChar w:fldCharType="separate"/>
            </w:r>
            <w:r>
              <w:rPr>
                <w:color w:val="004FA3"/>
                <w:sz w:val="18"/>
                <w:u w:val="single" w:color="004FA3"/>
                <w:lang w:val="en-US"/>
              </w:rPr>
              <w:t>www.chinawealth.com.cn</w:t>
            </w:r>
            <w:r>
              <w:rPr>
                <w:color w:val="004FA3"/>
                <w:sz w:val="18"/>
                <w:u w:val="single" w:color="004FA3"/>
                <w:lang w:val="en-US"/>
              </w:rPr>
              <w:fldChar w:fldCharType="end"/>
            </w:r>
            <w:r>
              <w:rPr>
                <w:color w:val="231F20"/>
                <w:sz w:val="18"/>
              </w:rPr>
              <w:t>上查询本产品</w:t>
            </w:r>
            <w:r>
              <w:rPr>
                <w:color w:val="231F20"/>
                <w:sz w:val="18"/>
                <w:lang w:val="en-US"/>
              </w:rPr>
              <w:t>)</w:t>
            </w:r>
          </w:p>
        </w:tc>
      </w:tr>
      <w:tr w:rsidR="00AE265E">
        <w:trPr>
          <w:trHeight w:val="330"/>
        </w:trPr>
        <w:tc>
          <w:tcPr>
            <w:tcW w:w="1531" w:type="dxa"/>
          </w:tcPr>
          <w:p w:rsidR="00AE265E" w:rsidRDefault="00322ACD">
            <w:pPr>
              <w:pStyle w:val="TableParagraph"/>
              <w:ind w:right="106"/>
              <w:jc w:val="center"/>
              <w:rPr>
                <w:sz w:val="18"/>
              </w:rPr>
            </w:pPr>
            <w:r>
              <w:rPr>
                <w:color w:val="231F20"/>
                <w:sz w:val="18"/>
              </w:rPr>
              <w:t>产品类型</w:t>
            </w:r>
          </w:p>
        </w:tc>
        <w:tc>
          <w:tcPr>
            <w:tcW w:w="8972" w:type="dxa"/>
          </w:tcPr>
          <w:p w:rsidR="00AE265E" w:rsidRDefault="00322ACD">
            <w:pPr>
              <w:pStyle w:val="TableParagraph"/>
              <w:ind w:left="107"/>
              <w:rPr>
                <w:sz w:val="18"/>
              </w:rPr>
            </w:pPr>
            <w:r>
              <w:rPr>
                <w:color w:val="231F20"/>
                <w:sz w:val="18"/>
              </w:rPr>
              <w:t>非保本浮动收益型</w:t>
            </w:r>
          </w:p>
        </w:tc>
      </w:tr>
      <w:tr w:rsidR="00AE265E">
        <w:trPr>
          <w:trHeight w:val="330"/>
        </w:trPr>
        <w:tc>
          <w:tcPr>
            <w:tcW w:w="1531" w:type="dxa"/>
          </w:tcPr>
          <w:p w:rsidR="00AE265E" w:rsidRDefault="00322ACD">
            <w:pPr>
              <w:pStyle w:val="TableParagraph"/>
              <w:ind w:right="106"/>
              <w:jc w:val="center"/>
              <w:rPr>
                <w:sz w:val="18"/>
              </w:rPr>
            </w:pPr>
            <w:r>
              <w:rPr>
                <w:color w:val="231F20"/>
                <w:sz w:val="18"/>
              </w:rPr>
              <w:t>产品流动性</w:t>
            </w:r>
          </w:p>
        </w:tc>
        <w:tc>
          <w:tcPr>
            <w:tcW w:w="8972" w:type="dxa"/>
          </w:tcPr>
          <w:p w:rsidR="00AE265E" w:rsidRDefault="00322ACD">
            <w:pPr>
              <w:pStyle w:val="TableParagraph"/>
              <w:ind w:left="107"/>
              <w:rPr>
                <w:sz w:val="18"/>
              </w:rPr>
            </w:pPr>
            <w:r>
              <w:rPr>
                <w:color w:val="231F20"/>
                <w:sz w:val="18"/>
              </w:rPr>
              <w:t>封闭式（产品成立后不开放申购与赎回）</w:t>
            </w:r>
          </w:p>
        </w:tc>
      </w:tr>
      <w:tr w:rsidR="00AE265E">
        <w:trPr>
          <w:trHeight w:val="330"/>
        </w:trPr>
        <w:tc>
          <w:tcPr>
            <w:tcW w:w="1531" w:type="dxa"/>
          </w:tcPr>
          <w:p w:rsidR="00AE265E" w:rsidRDefault="00322ACD">
            <w:pPr>
              <w:pStyle w:val="TableParagraph"/>
              <w:ind w:right="106"/>
              <w:jc w:val="center"/>
              <w:rPr>
                <w:sz w:val="18"/>
              </w:rPr>
            </w:pPr>
            <w:r>
              <w:rPr>
                <w:color w:val="231F20"/>
                <w:sz w:val="18"/>
              </w:rPr>
              <w:t>投资及收益币种</w:t>
            </w:r>
          </w:p>
        </w:tc>
        <w:tc>
          <w:tcPr>
            <w:tcW w:w="8972" w:type="dxa"/>
          </w:tcPr>
          <w:p w:rsidR="00AE265E" w:rsidRDefault="00322ACD">
            <w:pPr>
              <w:pStyle w:val="TableParagraph"/>
              <w:ind w:left="107"/>
              <w:rPr>
                <w:sz w:val="18"/>
              </w:rPr>
            </w:pPr>
            <w:r>
              <w:rPr>
                <w:color w:val="231F20"/>
                <w:sz w:val="18"/>
              </w:rPr>
              <w:t>人民币</w:t>
            </w:r>
          </w:p>
        </w:tc>
      </w:tr>
      <w:tr w:rsidR="00AE265E">
        <w:trPr>
          <w:trHeight w:val="330"/>
        </w:trPr>
        <w:tc>
          <w:tcPr>
            <w:tcW w:w="1531" w:type="dxa"/>
          </w:tcPr>
          <w:p w:rsidR="00AE265E" w:rsidRDefault="00322ACD">
            <w:pPr>
              <w:pStyle w:val="TableParagraph"/>
              <w:ind w:right="106"/>
              <w:jc w:val="center"/>
              <w:rPr>
                <w:sz w:val="18"/>
              </w:rPr>
            </w:pPr>
            <w:r>
              <w:rPr>
                <w:color w:val="231F20"/>
                <w:sz w:val="18"/>
              </w:rPr>
              <w:t>产品期限</w:t>
            </w:r>
          </w:p>
        </w:tc>
        <w:tc>
          <w:tcPr>
            <w:tcW w:w="8972" w:type="dxa"/>
          </w:tcPr>
          <w:p w:rsidR="00AE265E" w:rsidRDefault="00322ACD">
            <w:pPr>
              <w:pStyle w:val="TableParagraph"/>
              <w:tabs>
                <w:tab w:val="left" w:pos="715"/>
              </w:tabs>
              <w:ind w:left="48"/>
              <w:rPr>
                <w:sz w:val="18"/>
              </w:rPr>
            </w:pPr>
            <w:r>
              <w:rPr>
                <w:color w:val="231F20"/>
                <w:sz w:val="18"/>
              </w:rPr>
              <w:t>【</w:t>
            </w:r>
            <w:r>
              <w:rPr>
                <w:rFonts w:eastAsia="宋体" w:hint="eastAsia"/>
                <w:color w:val="231F20"/>
                <w:sz w:val="18"/>
                <w:lang w:val="en-US"/>
              </w:rPr>
              <w:t>180</w:t>
            </w:r>
            <w:r>
              <w:rPr>
                <w:color w:val="231F20"/>
                <w:spacing w:val="-60"/>
                <w:sz w:val="18"/>
              </w:rPr>
              <w:t>】</w:t>
            </w:r>
            <w:r>
              <w:rPr>
                <w:color w:val="231F20"/>
                <w:sz w:val="18"/>
              </w:rPr>
              <w:t>天</w:t>
            </w:r>
          </w:p>
        </w:tc>
      </w:tr>
      <w:tr w:rsidR="00AE265E">
        <w:trPr>
          <w:trHeight w:val="330"/>
        </w:trPr>
        <w:tc>
          <w:tcPr>
            <w:tcW w:w="1531" w:type="dxa"/>
          </w:tcPr>
          <w:p w:rsidR="00AE265E" w:rsidRDefault="00322ACD">
            <w:pPr>
              <w:pStyle w:val="TableParagraph"/>
              <w:ind w:right="106"/>
              <w:jc w:val="center"/>
              <w:rPr>
                <w:sz w:val="18"/>
              </w:rPr>
            </w:pPr>
            <w:r>
              <w:rPr>
                <w:color w:val="231F20"/>
                <w:sz w:val="18"/>
              </w:rPr>
              <w:t>募集规模</w:t>
            </w:r>
          </w:p>
        </w:tc>
        <w:tc>
          <w:tcPr>
            <w:tcW w:w="8972" w:type="dxa"/>
          </w:tcPr>
          <w:p w:rsidR="00AE265E" w:rsidRDefault="00322ACD">
            <w:pPr>
              <w:pStyle w:val="TableParagraph"/>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eastAsia="宋体" w:hint="eastAsia"/>
                <w:color w:val="231F20"/>
                <w:sz w:val="18"/>
                <w:lang w:val="en-US"/>
              </w:rPr>
              <w:t>15</w:t>
            </w:r>
            <w:r>
              <w:rPr>
                <w:rFonts w:eastAsia="宋体" w:hint="eastAsia"/>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eastAsia="宋体" w:hint="eastAsia"/>
                <w:color w:val="231F20"/>
                <w:sz w:val="18"/>
                <w:lang w:val="en-US"/>
              </w:rPr>
              <w:t xml:space="preserve"> </w:t>
            </w:r>
            <w:r>
              <w:rPr>
                <w:rFonts w:eastAsia="宋体" w:hint="eastAsia"/>
                <w:color w:val="231F20"/>
                <w:sz w:val="18"/>
                <w:lang w:val="en-US"/>
              </w:rPr>
              <w:t>1</w:t>
            </w:r>
            <w:r>
              <w:rPr>
                <w:rFonts w:eastAsia="宋体" w:hint="eastAsia"/>
                <w:color w:val="231F20"/>
                <w:sz w:val="18"/>
                <w:lang w:val="en-US"/>
              </w:rPr>
              <w:t xml:space="preserve">000 </w:t>
            </w:r>
            <w:r>
              <w:rPr>
                <w:color w:val="231F20"/>
                <w:spacing w:val="-60"/>
                <w:sz w:val="18"/>
              </w:rPr>
              <w:t>】</w:t>
            </w:r>
            <w:r>
              <w:rPr>
                <w:color w:val="231F20"/>
                <w:sz w:val="18"/>
              </w:rPr>
              <w:t>万元。</w:t>
            </w:r>
          </w:p>
        </w:tc>
      </w:tr>
      <w:tr w:rsidR="00AE265E">
        <w:trPr>
          <w:trHeight w:val="330"/>
        </w:trPr>
        <w:tc>
          <w:tcPr>
            <w:tcW w:w="1531" w:type="dxa"/>
          </w:tcPr>
          <w:p w:rsidR="00AE265E" w:rsidRDefault="00322ACD">
            <w:pPr>
              <w:pStyle w:val="TableParagraph"/>
              <w:ind w:right="106"/>
              <w:jc w:val="center"/>
              <w:rPr>
                <w:sz w:val="18"/>
              </w:rPr>
            </w:pPr>
            <w:r>
              <w:rPr>
                <w:color w:val="231F20"/>
                <w:sz w:val="18"/>
              </w:rPr>
              <w:t>内部风险评级</w:t>
            </w:r>
          </w:p>
        </w:tc>
        <w:tc>
          <w:tcPr>
            <w:tcW w:w="8972" w:type="dxa"/>
          </w:tcPr>
          <w:p w:rsidR="00AE265E" w:rsidRDefault="00322ACD">
            <w:pPr>
              <w:pStyle w:val="TableParagraph"/>
              <w:ind w:left="107"/>
              <w:rPr>
                <w:sz w:val="18"/>
              </w:rPr>
            </w:pPr>
            <w:r>
              <w:rPr>
                <w:color w:val="231F20"/>
                <w:spacing w:val="-12"/>
                <w:sz w:val="18"/>
              </w:rPr>
              <w:t>新疆银行理财产品风险评级，本产品属于【</w:t>
            </w:r>
            <w:r>
              <w:rPr>
                <w:rFonts w:ascii="宋体" w:hAnsi="宋体" w:hint="eastAsia"/>
                <w:b/>
                <w:bCs/>
                <w:sz w:val="18"/>
                <w:szCs w:val="18"/>
              </w:rPr>
              <w:t>□</w:t>
            </w:r>
            <w:r>
              <w:rPr>
                <w:rFonts w:ascii="宋体" w:hAnsi="宋体" w:cs="宋体" w:hint="eastAsia"/>
                <w:b/>
                <w:sz w:val="18"/>
                <w:szCs w:val="18"/>
              </w:rPr>
              <w:t>低风险</w:t>
            </w:r>
            <w:r>
              <w:rPr>
                <w:rFonts w:ascii="宋体" w:hAnsi="宋体" w:hint="eastAsia"/>
                <w:b/>
                <w:sz w:val="18"/>
                <w:szCs w:val="18"/>
              </w:rPr>
              <w:t>、</w:t>
            </w:r>
            <w:r>
              <w:rPr>
                <w:rFonts w:ascii="宋体" w:hAnsi="宋体" w:cs="宋体" w:hint="eastAsia"/>
                <w:b/>
                <w:sz w:val="18"/>
                <w:szCs w:val="18"/>
              </w:rPr>
              <w:t>■中低风险</w:t>
            </w:r>
            <w:r>
              <w:rPr>
                <w:rFonts w:ascii="宋体" w:hAnsi="宋体" w:hint="eastAsia"/>
                <w:b/>
                <w:sz w:val="18"/>
                <w:szCs w:val="18"/>
              </w:rPr>
              <w:t>、□</w:t>
            </w:r>
            <w:r>
              <w:rPr>
                <w:rFonts w:ascii="宋体" w:hAnsi="宋体" w:cs="宋体" w:hint="eastAsia"/>
                <w:b/>
                <w:sz w:val="18"/>
                <w:szCs w:val="18"/>
              </w:rPr>
              <w:t>中等风险</w:t>
            </w:r>
            <w:r>
              <w:rPr>
                <w:rFonts w:ascii="宋体" w:hAnsi="宋体" w:hint="eastAsia"/>
                <w:b/>
                <w:sz w:val="18"/>
                <w:szCs w:val="18"/>
              </w:rPr>
              <w:t>、□</w:t>
            </w:r>
            <w:r>
              <w:rPr>
                <w:rFonts w:ascii="宋体" w:hAnsi="宋体" w:cs="宋体" w:hint="eastAsia"/>
                <w:b/>
                <w:sz w:val="18"/>
                <w:szCs w:val="18"/>
              </w:rPr>
              <w:t>较高风险</w:t>
            </w:r>
            <w:r>
              <w:rPr>
                <w:rFonts w:ascii="宋体" w:hAnsi="宋体" w:hint="eastAsia"/>
                <w:b/>
                <w:sz w:val="18"/>
                <w:szCs w:val="18"/>
              </w:rPr>
              <w:t>、□</w:t>
            </w:r>
            <w:r>
              <w:rPr>
                <w:rFonts w:ascii="宋体" w:hAnsi="宋体" w:cs="宋体" w:hint="eastAsia"/>
                <w:b/>
                <w:sz w:val="18"/>
                <w:szCs w:val="18"/>
              </w:rPr>
              <w:t>高风险</w:t>
            </w:r>
            <w:r>
              <w:rPr>
                <w:rFonts w:ascii="宋体" w:hAnsi="宋体" w:hint="eastAsia"/>
                <w:b/>
                <w:bCs/>
                <w:sz w:val="18"/>
                <w:szCs w:val="18"/>
              </w:rPr>
              <w:t>】</w:t>
            </w:r>
            <w:r>
              <w:rPr>
                <w:color w:val="231F20"/>
                <w:spacing w:val="-12"/>
                <w:sz w:val="18"/>
              </w:rPr>
              <w:t>理财产品</w:t>
            </w:r>
          </w:p>
        </w:tc>
      </w:tr>
      <w:tr w:rsidR="00AE265E">
        <w:trPr>
          <w:trHeight w:val="330"/>
        </w:trPr>
        <w:tc>
          <w:tcPr>
            <w:tcW w:w="1531" w:type="dxa"/>
          </w:tcPr>
          <w:p w:rsidR="00AE265E" w:rsidRDefault="00322ACD">
            <w:pPr>
              <w:pStyle w:val="TableParagraph"/>
              <w:ind w:right="106"/>
              <w:jc w:val="center"/>
              <w:rPr>
                <w:sz w:val="18"/>
              </w:rPr>
            </w:pPr>
            <w:r>
              <w:rPr>
                <w:color w:val="231F20"/>
                <w:sz w:val="18"/>
              </w:rPr>
              <w:t>适合客户类型</w:t>
            </w:r>
          </w:p>
        </w:tc>
        <w:tc>
          <w:tcPr>
            <w:tcW w:w="8972" w:type="dxa"/>
          </w:tcPr>
          <w:p w:rsidR="00AE265E" w:rsidRDefault="00322ACD">
            <w:pPr>
              <w:pStyle w:val="TableParagraph"/>
              <w:ind w:left="107"/>
              <w:rPr>
                <w:sz w:val="18"/>
              </w:rPr>
            </w:pPr>
            <w:r>
              <w:rPr>
                <w:color w:val="231F20"/>
                <w:sz w:val="18"/>
              </w:rPr>
              <w:t>经新疆银行风险评估，本产品适合【</w:t>
            </w:r>
            <w:r>
              <w:rPr>
                <w:rFonts w:ascii="宋体" w:hAnsi="宋体" w:hint="eastAsia"/>
                <w:b/>
                <w:bCs/>
                <w:sz w:val="18"/>
                <w:szCs w:val="18"/>
              </w:rPr>
              <w:t>□</w:t>
            </w:r>
            <w:r>
              <w:rPr>
                <w:rFonts w:ascii="宋体" w:hAnsi="宋体" w:hint="eastAsia"/>
                <w:b/>
                <w:bCs/>
                <w:sz w:val="18"/>
                <w:szCs w:val="18"/>
              </w:rPr>
              <w:t>保守型</w:t>
            </w:r>
            <w:r>
              <w:rPr>
                <w:rFonts w:ascii="宋体" w:hAnsi="宋体" w:hint="eastAsia"/>
                <w:b/>
                <w:bCs/>
                <w:sz w:val="18"/>
                <w:szCs w:val="18"/>
              </w:rPr>
              <w:t>、</w:t>
            </w:r>
            <w:r>
              <w:rPr>
                <w:rFonts w:ascii="宋体" w:hAnsi="宋体" w:cs="宋体" w:hint="eastAsia"/>
                <w:bCs/>
                <w:sz w:val="18"/>
                <w:szCs w:val="18"/>
              </w:rPr>
              <w:t>■</w:t>
            </w:r>
            <w:r>
              <w:rPr>
                <w:rFonts w:ascii="宋体" w:hAnsi="宋体" w:hint="eastAsia"/>
                <w:b/>
                <w:bCs/>
                <w:sz w:val="18"/>
                <w:szCs w:val="18"/>
              </w:rPr>
              <w:t>稳健型、</w:t>
            </w:r>
            <w:r>
              <w:rPr>
                <w:rFonts w:ascii="宋体" w:hAnsi="宋体" w:cs="宋体" w:hint="eastAsia"/>
                <w:bCs/>
                <w:sz w:val="18"/>
                <w:szCs w:val="18"/>
              </w:rPr>
              <w:t>■</w:t>
            </w:r>
            <w:r>
              <w:rPr>
                <w:rFonts w:ascii="宋体" w:hAnsi="宋体" w:hint="eastAsia"/>
                <w:b/>
                <w:bCs/>
                <w:sz w:val="18"/>
                <w:szCs w:val="18"/>
              </w:rPr>
              <w:t>平衡型、</w:t>
            </w:r>
            <w:r>
              <w:rPr>
                <w:rFonts w:ascii="宋体" w:hAnsi="宋体" w:cs="宋体" w:hint="eastAsia"/>
                <w:bCs/>
                <w:sz w:val="18"/>
                <w:szCs w:val="18"/>
              </w:rPr>
              <w:t>■</w:t>
            </w:r>
            <w:r>
              <w:rPr>
                <w:rFonts w:ascii="宋体" w:hAnsi="宋体" w:hint="eastAsia"/>
                <w:b/>
                <w:bCs/>
                <w:sz w:val="18"/>
                <w:szCs w:val="18"/>
              </w:rPr>
              <w:t>成长型</w:t>
            </w:r>
            <w:r>
              <w:rPr>
                <w:rFonts w:ascii="宋体" w:hAnsi="宋体" w:hint="eastAsia"/>
                <w:b/>
                <w:bCs/>
                <w:sz w:val="18"/>
                <w:szCs w:val="18"/>
              </w:rPr>
              <w:t>、</w:t>
            </w:r>
            <w:r>
              <w:rPr>
                <w:rFonts w:ascii="宋体" w:hAnsi="宋体" w:cs="宋体" w:hint="eastAsia"/>
                <w:bCs/>
                <w:sz w:val="18"/>
                <w:szCs w:val="18"/>
              </w:rPr>
              <w:t>■</w:t>
            </w:r>
            <w:r>
              <w:rPr>
                <w:rFonts w:ascii="宋体" w:hAnsi="宋体" w:hint="eastAsia"/>
                <w:b/>
                <w:bCs/>
                <w:sz w:val="18"/>
                <w:szCs w:val="18"/>
              </w:rPr>
              <w:t>进取型</w:t>
            </w:r>
            <w:r>
              <w:rPr>
                <w:color w:val="231F20"/>
                <w:sz w:val="18"/>
              </w:rPr>
              <w:t>】的个人客户</w:t>
            </w:r>
          </w:p>
        </w:tc>
      </w:tr>
      <w:tr w:rsidR="00AE265E">
        <w:trPr>
          <w:trHeight w:val="475"/>
        </w:trPr>
        <w:tc>
          <w:tcPr>
            <w:tcW w:w="1531" w:type="dxa"/>
          </w:tcPr>
          <w:p w:rsidR="00AE265E" w:rsidRDefault="00322ACD">
            <w:pPr>
              <w:pStyle w:val="TableParagraph"/>
              <w:spacing w:before="120"/>
              <w:ind w:right="106"/>
              <w:jc w:val="center"/>
              <w:rPr>
                <w:sz w:val="18"/>
              </w:rPr>
            </w:pPr>
            <w:r>
              <w:rPr>
                <w:color w:val="231F20"/>
                <w:sz w:val="18"/>
              </w:rPr>
              <w:t>提前终止权</w:t>
            </w:r>
          </w:p>
        </w:tc>
        <w:tc>
          <w:tcPr>
            <w:tcW w:w="8972" w:type="dxa"/>
          </w:tcPr>
          <w:p w:rsidR="00AE265E" w:rsidRDefault="00322ACD">
            <w:pPr>
              <w:pStyle w:val="TableParagraph"/>
              <w:spacing w:before="36" w:line="204" w:lineRule="exact"/>
              <w:ind w:left="107" w:right="212"/>
              <w:rPr>
                <w:sz w:val="18"/>
              </w:rPr>
            </w:pPr>
            <w:r>
              <w:rPr>
                <w:color w:val="231F20"/>
                <w:spacing w:val="-16"/>
                <w:sz w:val="18"/>
              </w:rPr>
              <w:t>客户无权提前终止该产品；在产品运作期间内，银行有权视产品运行情况提前终止本理财产品，详见</w:t>
            </w:r>
            <w:r>
              <w:rPr>
                <w:color w:val="231F20"/>
                <w:spacing w:val="-16"/>
                <w:sz w:val="18"/>
              </w:rPr>
              <w:t>“</w:t>
            </w:r>
            <w:r>
              <w:rPr>
                <w:color w:val="231F20"/>
                <w:spacing w:val="-16"/>
                <w:sz w:val="18"/>
              </w:rPr>
              <w:t>产品提前终</w:t>
            </w:r>
            <w:r>
              <w:rPr>
                <w:color w:val="231F20"/>
                <w:spacing w:val="-20"/>
                <w:sz w:val="18"/>
              </w:rPr>
              <w:t>止</w:t>
            </w:r>
            <w:r>
              <w:rPr>
                <w:color w:val="231F20"/>
                <w:spacing w:val="-20"/>
                <w:sz w:val="18"/>
              </w:rPr>
              <w:t>”</w:t>
            </w:r>
            <w:r>
              <w:rPr>
                <w:color w:val="231F20"/>
                <w:spacing w:val="-20"/>
                <w:sz w:val="18"/>
              </w:rPr>
              <w:t>条款。</w:t>
            </w:r>
          </w:p>
        </w:tc>
      </w:tr>
      <w:tr w:rsidR="00AE265E">
        <w:trPr>
          <w:trHeight w:val="330"/>
        </w:trPr>
        <w:tc>
          <w:tcPr>
            <w:tcW w:w="1531" w:type="dxa"/>
          </w:tcPr>
          <w:p w:rsidR="00AE265E" w:rsidRDefault="00322ACD">
            <w:pPr>
              <w:pStyle w:val="TableParagraph"/>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rsidR="00AE265E" w:rsidRDefault="00322ACD">
            <w:pPr>
              <w:pStyle w:val="TableParagraph"/>
              <w:ind w:left="107"/>
              <w:rPr>
                <w:sz w:val="18"/>
              </w:rPr>
            </w:pPr>
            <w:r>
              <w:rPr>
                <w:color w:val="231F20"/>
                <w:sz w:val="18"/>
              </w:rPr>
              <w:t>本产品为封闭式理财产品，除本说明书特别约定外，产品成立后不开放申购与赎回。</w:t>
            </w:r>
          </w:p>
        </w:tc>
      </w:tr>
      <w:tr w:rsidR="00AE265E">
        <w:trPr>
          <w:trHeight w:val="678"/>
        </w:trPr>
        <w:tc>
          <w:tcPr>
            <w:tcW w:w="1531" w:type="dxa"/>
          </w:tcPr>
          <w:p w:rsidR="00AE265E" w:rsidRDefault="00AE265E">
            <w:pPr>
              <w:pStyle w:val="TableParagraph"/>
              <w:spacing w:before="4"/>
              <w:ind w:left="0"/>
              <w:rPr>
                <w:rFonts w:ascii="宋体"/>
                <w:sz w:val="17"/>
              </w:rPr>
            </w:pPr>
          </w:p>
          <w:p w:rsidR="00AE265E" w:rsidRDefault="00322ACD">
            <w:pPr>
              <w:pStyle w:val="TableParagraph"/>
              <w:spacing w:before="0"/>
              <w:ind w:right="106"/>
              <w:jc w:val="center"/>
              <w:rPr>
                <w:sz w:val="18"/>
              </w:rPr>
            </w:pPr>
            <w:r>
              <w:rPr>
                <w:color w:val="231F20"/>
                <w:sz w:val="18"/>
              </w:rPr>
              <w:t>募集期</w:t>
            </w:r>
          </w:p>
        </w:tc>
        <w:tc>
          <w:tcPr>
            <w:tcW w:w="8972" w:type="dxa"/>
          </w:tcPr>
          <w:p w:rsidR="00AE265E" w:rsidRDefault="00322ACD">
            <w:pPr>
              <w:pStyle w:val="TableParagraph"/>
              <w:spacing w:before="36" w:line="204" w:lineRule="exact"/>
              <w:ind w:left="107" w:right="157" w:hanging="60"/>
              <w:jc w:val="both"/>
              <w:rPr>
                <w:sz w:val="18"/>
              </w:rPr>
            </w:pPr>
            <w:r>
              <w:rPr>
                <w:color w:val="231F20"/>
                <w:spacing w:val="-15"/>
                <w:sz w:val="18"/>
              </w:rPr>
              <w:t>【</w:t>
            </w:r>
            <w:r>
              <w:rPr>
                <w:rFonts w:eastAsia="宋体" w:hint="eastAsia"/>
                <w:color w:val="231F20"/>
                <w:spacing w:val="-15"/>
                <w:sz w:val="18"/>
                <w:lang w:val="en-US"/>
              </w:rPr>
              <w:t xml:space="preserve"> 20</w:t>
            </w:r>
            <w:r>
              <w:rPr>
                <w:rFonts w:eastAsia="宋体" w:hint="eastAsia"/>
                <w:color w:val="231F20"/>
                <w:spacing w:val="-15"/>
                <w:sz w:val="18"/>
                <w:lang w:val="en-US"/>
              </w:rPr>
              <w:t>20</w:t>
            </w:r>
            <w:r>
              <w:rPr>
                <w:color w:val="231F20"/>
                <w:spacing w:val="-15"/>
                <w:sz w:val="18"/>
              </w:rPr>
              <w:t>】年【</w:t>
            </w:r>
            <w:r>
              <w:rPr>
                <w:rFonts w:eastAsia="宋体" w:hint="eastAsia"/>
                <w:color w:val="231F20"/>
                <w:spacing w:val="-15"/>
                <w:sz w:val="18"/>
                <w:lang w:val="en-US"/>
              </w:rPr>
              <w:t xml:space="preserve">  </w:t>
            </w:r>
            <w:r>
              <w:rPr>
                <w:rFonts w:eastAsia="宋体" w:hint="eastAsia"/>
                <w:color w:val="231F20"/>
                <w:spacing w:val="-15"/>
                <w:sz w:val="18"/>
                <w:lang w:val="en-US"/>
              </w:rPr>
              <w:t xml:space="preserve">02  </w:t>
            </w:r>
            <w:r>
              <w:rPr>
                <w:color w:val="231F20"/>
                <w:spacing w:val="-15"/>
                <w:sz w:val="18"/>
              </w:rPr>
              <w:t>】月【</w:t>
            </w:r>
            <w:r>
              <w:rPr>
                <w:rFonts w:eastAsia="宋体" w:hint="eastAsia"/>
                <w:color w:val="231F20"/>
                <w:spacing w:val="-15"/>
                <w:sz w:val="18"/>
                <w:lang w:val="en-US"/>
              </w:rPr>
              <w:t xml:space="preserve"> 02 </w:t>
            </w:r>
            <w:r>
              <w:rPr>
                <w:color w:val="231F20"/>
                <w:spacing w:val="-15"/>
                <w:sz w:val="18"/>
              </w:rPr>
              <w:t>】日至【</w:t>
            </w:r>
            <w:r>
              <w:rPr>
                <w:color w:val="231F20"/>
                <w:spacing w:val="-15"/>
                <w:sz w:val="18"/>
              </w:rPr>
              <w:t xml:space="preserve"> </w:t>
            </w:r>
            <w:r>
              <w:rPr>
                <w:rFonts w:eastAsia="宋体" w:hint="eastAsia"/>
                <w:color w:val="231F20"/>
                <w:spacing w:val="-15"/>
                <w:sz w:val="18"/>
                <w:lang w:val="en-US"/>
              </w:rPr>
              <w:t>2020</w:t>
            </w:r>
            <w:r>
              <w:rPr>
                <w:color w:val="231F20"/>
                <w:spacing w:val="-15"/>
                <w:sz w:val="18"/>
              </w:rPr>
              <w:t>】年【</w:t>
            </w:r>
            <w:r>
              <w:rPr>
                <w:color w:val="231F20"/>
                <w:spacing w:val="-15"/>
                <w:sz w:val="18"/>
              </w:rPr>
              <w:t xml:space="preserve"> </w:t>
            </w:r>
            <w:r>
              <w:rPr>
                <w:rFonts w:eastAsia="宋体" w:hint="eastAsia"/>
                <w:color w:val="231F20"/>
                <w:spacing w:val="-15"/>
                <w:sz w:val="18"/>
                <w:lang w:val="en-US"/>
              </w:rPr>
              <w:t>02</w:t>
            </w:r>
            <w:r>
              <w:rPr>
                <w:color w:val="231F20"/>
                <w:spacing w:val="-15"/>
                <w:sz w:val="18"/>
              </w:rPr>
              <w:t>】月【</w:t>
            </w:r>
            <w:r>
              <w:rPr>
                <w:rFonts w:eastAsiaTheme="minorEastAsia" w:hint="eastAsia"/>
                <w:color w:val="231F20"/>
                <w:spacing w:val="-15"/>
                <w:sz w:val="18"/>
              </w:rPr>
              <w:t xml:space="preserve"> </w:t>
            </w:r>
            <w:r>
              <w:rPr>
                <w:rFonts w:eastAsiaTheme="minorEastAsia" w:hint="eastAsia"/>
                <w:color w:val="231F20"/>
                <w:spacing w:val="-15"/>
                <w:sz w:val="18"/>
                <w:lang w:val="en-US"/>
              </w:rPr>
              <w:t>06</w:t>
            </w:r>
            <w:r>
              <w:rPr>
                <w:color w:val="231F20"/>
                <w:spacing w:val="-15"/>
                <w:sz w:val="18"/>
              </w:rPr>
              <w:t>】日。即客户可以购买本产品的时间段。客户</w:t>
            </w:r>
            <w:r>
              <w:rPr>
                <w:color w:val="231F20"/>
                <w:spacing w:val="-21"/>
                <w:sz w:val="18"/>
              </w:rPr>
              <w:t>在募集期内认购本理财产品后</w:t>
            </w:r>
            <w:r>
              <w:rPr>
                <w:color w:val="231F20"/>
                <w:spacing w:val="-21"/>
                <w:sz w:val="18"/>
              </w:rPr>
              <w:t>,</w:t>
            </w:r>
            <w:r>
              <w:rPr>
                <w:color w:val="231F20"/>
                <w:spacing w:val="-21"/>
                <w:sz w:val="18"/>
              </w:rPr>
              <w:t>理财资金将在成立日开始进行投资，募集期内，您购买理财的资金按照活期存款利</w:t>
            </w:r>
            <w:r>
              <w:rPr>
                <w:color w:val="231F20"/>
                <w:spacing w:val="-14"/>
                <w:sz w:val="18"/>
              </w:rPr>
              <w:t>率计息，募集期内的利息不计入认购本金份额。</w:t>
            </w:r>
          </w:p>
        </w:tc>
      </w:tr>
      <w:tr w:rsidR="00AE265E">
        <w:trPr>
          <w:trHeight w:val="881"/>
        </w:trPr>
        <w:tc>
          <w:tcPr>
            <w:tcW w:w="1531" w:type="dxa"/>
          </w:tcPr>
          <w:p w:rsidR="00AE265E" w:rsidRDefault="00AE265E">
            <w:pPr>
              <w:pStyle w:val="TableParagraph"/>
              <w:spacing w:before="3"/>
              <w:ind w:left="0"/>
              <w:rPr>
                <w:rFonts w:ascii="宋体"/>
                <w:sz w:val="25"/>
              </w:rPr>
            </w:pPr>
          </w:p>
          <w:p w:rsidR="00AE265E" w:rsidRDefault="00322ACD">
            <w:pPr>
              <w:pStyle w:val="TableParagraph"/>
              <w:spacing w:before="0"/>
              <w:ind w:right="106"/>
              <w:jc w:val="center"/>
              <w:rPr>
                <w:sz w:val="18"/>
              </w:rPr>
            </w:pPr>
            <w:r>
              <w:rPr>
                <w:color w:val="231F20"/>
                <w:sz w:val="18"/>
              </w:rPr>
              <w:t>成立日</w:t>
            </w:r>
          </w:p>
        </w:tc>
        <w:tc>
          <w:tcPr>
            <w:tcW w:w="8972" w:type="dxa"/>
          </w:tcPr>
          <w:p w:rsidR="00AE265E" w:rsidRDefault="00322ACD">
            <w:pPr>
              <w:pStyle w:val="TableParagraph"/>
              <w:spacing w:before="36" w:line="204" w:lineRule="exact"/>
              <w:ind w:left="107" w:right="124" w:hanging="60"/>
              <w:jc w:val="both"/>
              <w:rPr>
                <w:sz w:val="18"/>
              </w:rPr>
            </w:pPr>
            <w:r>
              <w:rPr>
                <w:color w:val="231F20"/>
                <w:spacing w:val="-22"/>
                <w:sz w:val="18"/>
              </w:rPr>
              <w:t>【</w:t>
            </w:r>
            <w:r>
              <w:rPr>
                <w:rFonts w:eastAsia="宋体" w:hint="eastAsia"/>
                <w:color w:val="231F20"/>
                <w:spacing w:val="-22"/>
                <w:sz w:val="18"/>
                <w:lang w:val="en-US"/>
              </w:rPr>
              <w:t>2020</w:t>
            </w:r>
            <w:r>
              <w:rPr>
                <w:color w:val="231F20"/>
                <w:spacing w:val="-22"/>
                <w:sz w:val="18"/>
              </w:rPr>
              <w:t>】年【</w:t>
            </w:r>
            <w:r>
              <w:rPr>
                <w:rFonts w:eastAsia="宋体" w:hint="eastAsia"/>
                <w:color w:val="231F20"/>
                <w:spacing w:val="-22"/>
                <w:sz w:val="18"/>
                <w:lang w:val="en-US"/>
              </w:rPr>
              <w:t xml:space="preserve"> 02</w:t>
            </w:r>
            <w:r>
              <w:rPr>
                <w:color w:val="231F20"/>
                <w:spacing w:val="-22"/>
                <w:sz w:val="18"/>
              </w:rPr>
              <w:t>】月【</w:t>
            </w:r>
            <w:r>
              <w:rPr>
                <w:rFonts w:eastAsia="宋体" w:hint="eastAsia"/>
                <w:color w:val="231F20"/>
                <w:spacing w:val="-22"/>
                <w:sz w:val="18"/>
                <w:lang w:val="en-US"/>
              </w:rPr>
              <w:t>07</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w:t>
            </w:r>
            <w:r>
              <w:rPr>
                <w:color w:val="231F20"/>
                <w:spacing w:val="-15"/>
                <w:sz w:val="18"/>
              </w:rPr>
              <w:t>，理财本金将在募集期结束后</w:t>
            </w:r>
            <w:r>
              <w:rPr>
                <w:color w:val="231F20"/>
                <w:sz w:val="18"/>
              </w:rPr>
              <w:t>3</w:t>
            </w:r>
            <w:r>
              <w:rPr>
                <w:color w:val="231F20"/>
                <w:spacing w:val="-5"/>
                <w:sz w:val="18"/>
              </w:rPr>
              <w:t xml:space="preserve"> </w:t>
            </w:r>
            <w:proofErr w:type="gramStart"/>
            <w:r>
              <w:rPr>
                <w:color w:val="231F20"/>
                <w:spacing w:val="-5"/>
                <w:sz w:val="18"/>
              </w:rPr>
              <w:t>个</w:t>
            </w:r>
            <w:proofErr w:type="gramEnd"/>
            <w:r>
              <w:rPr>
                <w:color w:val="231F20"/>
                <w:spacing w:val="-5"/>
                <w:sz w:val="18"/>
              </w:rPr>
              <w:t>工作日内返还投资人。</w:t>
            </w:r>
          </w:p>
        </w:tc>
      </w:tr>
      <w:tr w:rsidR="00AE265E">
        <w:trPr>
          <w:trHeight w:val="475"/>
        </w:trPr>
        <w:tc>
          <w:tcPr>
            <w:tcW w:w="1531" w:type="dxa"/>
          </w:tcPr>
          <w:p w:rsidR="00AE265E" w:rsidRDefault="00322ACD">
            <w:pPr>
              <w:pStyle w:val="TableParagraph"/>
              <w:spacing w:before="120"/>
              <w:ind w:right="106"/>
              <w:jc w:val="center"/>
              <w:rPr>
                <w:sz w:val="18"/>
              </w:rPr>
            </w:pPr>
            <w:r>
              <w:rPr>
                <w:color w:val="231F20"/>
                <w:sz w:val="18"/>
              </w:rPr>
              <w:t>到期日</w:t>
            </w:r>
          </w:p>
        </w:tc>
        <w:tc>
          <w:tcPr>
            <w:tcW w:w="8972" w:type="dxa"/>
          </w:tcPr>
          <w:p w:rsidR="00AE265E" w:rsidRDefault="00322ACD">
            <w:pPr>
              <w:pStyle w:val="TableParagraph"/>
              <w:tabs>
                <w:tab w:val="left" w:pos="1350"/>
                <w:tab w:val="left" w:pos="2533"/>
              </w:tabs>
              <w:spacing w:before="19" w:line="227" w:lineRule="exact"/>
              <w:ind w:left="48"/>
              <w:rPr>
                <w:sz w:val="18"/>
              </w:rPr>
            </w:pPr>
            <w:r>
              <w:rPr>
                <w:color w:val="231F20"/>
                <w:sz w:val="18"/>
              </w:rPr>
              <w:t>【</w:t>
            </w:r>
            <w:r>
              <w:rPr>
                <w:rFonts w:eastAsia="宋体" w:hint="eastAsia"/>
                <w:color w:val="231F20"/>
                <w:sz w:val="18"/>
                <w:lang w:val="en-US"/>
              </w:rPr>
              <w:t>20</w:t>
            </w:r>
            <w:r>
              <w:rPr>
                <w:rFonts w:eastAsia="宋体" w:hint="eastAsia"/>
                <w:color w:val="231F20"/>
                <w:sz w:val="18"/>
                <w:lang w:val="en-US"/>
              </w:rPr>
              <w:t>20</w:t>
            </w:r>
            <w:r>
              <w:rPr>
                <w:color w:val="231F20"/>
                <w:spacing w:val="-60"/>
                <w:sz w:val="18"/>
              </w:rPr>
              <w:t>】</w:t>
            </w:r>
            <w:r>
              <w:rPr>
                <w:rFonts w:eastAsiaTheme="minorEastAsia" w:hint="eastAsia"/>
                <w:color w:val="231F20"/>
                <w:spacing w:val="-60"/>
                <w:sz w:val="18"/>
              </w:rPr>
              <w:t xml:space="preserve"> </w:t>
            </w:r>
            <w:r>
              <w:rPr>
                <w:color w:val="231F20"/>
                <w:spacing w:val="-60"/>
                <w:sz w:val="18"/>
              </w:rPr>
              <w:t>年</w:t>
            </w:r>
            <w:r>
              <w:rPr>
                <w:rFonts w:eastAsiaTheme="minorEastAsia" w:hint="eastAsia"/>
                <w:color w:val="231F20"/>
                <w:spacing w:val="-60"/>
                <w:sz w:val="18"/>
              </w:rPr>
              <w:t xml:space="preserve">    </w:t>
            </w:r>
            <w:r>
              <w:rPr>
                <w:color w:val="231F20"/>
                <w:sz w:val="18"/>
              </w:rPr>
              <w:t>【</w:t>
            </w:r>
            <w:r>
              <w:rPr>
                <w:rFonts w:eastAsia="宋体" w:hint="eastAsia"/>
                <w:color w:val="231F20"/>
                <w:sz w:val="18"/>
                <w:lang w:val="en-US"/>
              </w:rPr>
              <w:t>08</w:t>
            </w:r>
            <w:r>
              <w:rPr>
                <w:color w:val="231F20"/>
                <w:spacing w:val="-60"/>
                <w:sz w:val="18"/>
              </w:rPr>
              <w:t>】月</w:t>
            </w:r>
            <w:r>
              <w:rPr>
                <w:color w:val="231F20"/>
                <w:sz w:val="18"/>
              </w:rPr>
              <w:t>【</w:t>
            </w:r>
            <w:r>
              <w:rPr>
                <w:rFonts w:eastAsiaTheme="minorEastAsia" w:hint="eastAsia"/>
                <w:color w:val="231F20"/>
                <w:sz w:val="18"/>
              </w:rPr>
              <w:t xml:space="preserve"> </w:t>
            </w:r>
            <w:r>
              <w:rPr>
                <w:rFonts w:eastAsiaTheme="minorEastAsia" w:hint="eastAsia"/>
                <w:color w:val="231F20"/>
                <w:sz w:val="18"/>
                <w:lang w:val="en-US"/>
              </w:rPr>
              <w:t xml:space="preserve">05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rsidR="00AE265E" w:rsidRDefault="00322ACD">
            <w:pPr>
              <w:pStyle w:val="TableParagraph"/>
              <w:spacing w:before="0" w:line="209" w:lineRule="exact"/>
              <w:ind w:left="107"/>
              <w:rPr>
                <w:sz w:val="18"/>
              </w:rPr>
            </w:pPr>
            <w:proofErr w:type="gramStart"/>
            <w:r>
              <w:rPr>
                <w:color w:val="231F20"/>
                <w:sz w:val="18"/>
              </w:rPr>
              <w:t>如遇非工作日</w:t>
            </w:r>
            <w:proofErr w:type="gramEnd"/>
            <w:r>
              <w:rPr>
                <w:color w:val="231F20"/>
                <w:sz w:val="18"/>
              </w:rPr>
              <w:t>则顺延至其后第一个工作日，实际产品到期日、理财运作期限受制于产品提前终止条款。</w:t>
            </w:r>
          </w:p>
        </w:tc>
      </w:tr>
      <w:tr w:rsidR="00AE265E">
        <w:trPr>
          <w:trHeight w:val="881"/>
        </w:trPr>
        <w:tc>
          <w:tcPr>
            <w:tcW w:w="1531" w:type="dxa"/>
          </w:tcPr>
          <w:p w:rsidR="00AE265E" w:rsidRDefault="00AE265E">
            <w:pPr>
              <w:pStyle w:val="TableParagraph"/>
              <w:spacing w:before="3"/>
              <w:ind w:left="0"/>
              <w:rPr>
                <w:rFonts w:ascii="宋体"/>
                <w:sz w:val="25"/>
              </w:rPr>
            </w:pPr>
          </w:p>
          <w:p w:rsidR="00AE265E" w:rsidRDefault="00322ACD">
            <w:pPr>
              <w:pStyle w:val="TableParagraph"/>
              <w:spacing w:before="0"/>
              <w:ind w:right="106"/>
              <w:jc w:val="center"/>
              <w:rPr>
                <w:sz w:val="18"/>
              </w:rPr>
            </w:pPr>
            <w:r>
              <w:rPr>
                <w:color w:val="231F20"/>
                <w:sz w:val="18"/>
              </w:rPr>
              <w:t>兑付日</w:t>
            </w:r>
          </w:p>
        </w:tc>
        <w:tc>
          <w:tcPr>
            <w:tcW w:w="8972" w:type="dxa"/>
          </w:tcPr>
          <w:p w:rsidR="00AE265E" w:rsidRDefault="00322ACD">
            <w:pPr>
              <w:pStyle w:val="TableParagraph"/>
              <w:spacing w:before="36" w:line="204" w:lineRule="exact"/>
              <w:ind w:left="107" w:right="101" w:hanging="60"/>
              <w:jc w:val="both"/>
              <w:rPr>
                <w:sz w:val="18"/>
              </w:rPr>
            </w:pPr>
            <w:r>
              <w:rPr>
                <w:color w:val="231F20"/>
                <w:sz w:val="18"/>
              </w:rPr>
              <w:t>【</w:t>
            </w:r>
            <w:r>
              <w:rPr>
                <w:rFonts w:eastAsia="宋体" w:hint="eastAsia"/>
                <w:color w:val="231F20"/>
                <w:sz w:val="18"/>
                <w:lang w:val="en-US"/>
              </w:rPr>
              <w:t>20</w:t>
            </w:r>
            <w:r>
              <w:rPr>
                <w:rFonts w:eastAsia="宋体" w:hint="eastAsia"/>
                <w:color w:val="231F20"/>
                <w:sz w:val="18"/>
                <w:lang w:val="en-US"/>
              </w:rPr>
              <w:t>20</w:t>
            </w:r>
            <w:r>
              <w:rPr>
                <w:color w:val="231F20"/>
                <w:spacing w:val="-60"/>
                <w:sz w:val="18"/>
              </w:rPr>
              <w:t>】</w:t>
            </w:r>
            <w:r>
              <w:rPr>
                <w:rFonts w:eastAsiaTheme="minorEastAsia" w:hint="eastAsia"/>
                <w:color w:val="231F20"/>
                <w:spacing w:val="-60"/>
                <w:sz w:val="18"/>
              </w:rPr>
              <w:t xml:space="preserve"> </w:t>
            </w:r>
            <w:r>
              <w:rPr>
                <w:color w:val="231F20"/>
                <w:spacing w:val="-60"/>
                <w:sz w:val="18"/>
              </w:rPr>
              <w:t>年</w:t>
            </w:r>
            <w:r>
              <w:rPr>
                <w:rFonts w:eastAsiaTheme="minorEastAsia" w:hint="eastAsia"/>
                <w:color w:val="231F20"/>
                <w:spacing w:val="-60"/>
                <w:sz w:val="18"/>
              </w:rPr>
              <w:t xml:space="preserve">    </w:t>
            </w:r>
            <w:r>
              <w:rPr>
                <w:color w:val="231F20"/>
                <w:sz w:val="18"/>
              </w:rPr>
              <w:t>【</w:t>
            </w:r>
            <w:r>
              <w:rPr>
                <w:rFonts w:eastAsia="宋体" w:hint="eastAsia"/>
                <w:color w:val="231F20"/>
                <w:sz w:val="18"/>
                <w:lang w:val="en-US"/>
              </w:rPr>
              <w:t>08</w:t>
            </w:r>
            <w:r>
              <w:rPr>
                <w:color w:val="231F20"/>
                <w:spacing w:val="-60"/>
                <w:sz w:val="18"/>
              </w:rPr>
              <w:t>】月</w:t>
            </w:r>
            <w:r>
              <w:rPr>
                <w:color w:val="231F20"/>
                <w:sz w:val="18"/>
              </w:rPr>
              <w:t>【</w:t>
            </w:r>
            <w:r>
              <w:rPr>
                <w:rFonts w:eastAsia="宋体" w:hint="eastAsia"/>
                <w:color w:val="231F20"/>
                <w:sz w:val="18"/>
                <w:lang w:val="en-US"/>
              </w:rPr>
              <w:t>05</w:t>
            </w:r>
            <w:r>
              <w:rPr>
                <w:color w:val="231F20"/>
                <w:spacing w:val="-60"/>
                <w:sz w:val="18"/>
              </w:rPr>
              <w:t>】</w:t>
            </w:r>
            <w:r>
              <w:rPr>
                <w:color w:val="231F20"/>
                <w:sz w:val="18"/>
              </w:rPr>
              <w:t>日</w:t>
            </w:r>
            <w:r>
              <w:rPr>
                <w:color w:val="231F20"/>
                <w:spacing w:val="-16"/>
                <w:sz w:val="18"/>
              </w:rPr>
              <w:t>，兑付日是客户理财资金到账日，</w:t>
            </w:r>
            <w:proofErr w:type="gramStart"/>
            <w:r>
              <w:rPr>
                <w:color w:val="231F20"/>
                <w:spacing w:val="-16"/>
                <w:sz w:val="18"/>
              </w:rPr>
              <w:t>如遇非工作日</w:t>
            </w:r>
            <w:proofErr w:type="gramEnd"/>
            <w:r>
              <w:rPr>
                <w:color w:val="231F20"/>
                <w:spacing w:val="-16"/>
                <w:sz w:val="18"/>
              </w:rPr>
              <w:t>则顺延至节后第一个工作日，</w:t>
            </w:r>
            <w:r>
              <w:rPr>
                <w:color w:val="231F20"/>
                <w:spacing w:val="-16"/>
                <w:sz w:val="18"/>
              </w:rPr>
              <w:t xml:space="preserve">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hyperlink r:id="rId11">
              <w:r>
                <w:rPr>
                  <w:color w:val="231F20"/>
                  <w:spacing w:val="-1"/>
                  <w:w w:val="106"/>
                  <w:sz w:val="18"/>
                </w:rPr>
                <w:t>www.xjbank.co</w:t>
              </w:r>
              <w:r>
                <w:rPr>
                  <w:color w:val="231F20"/>
                  <w:spacing w:val="-27"/>
                  <w:w w:val="107"/>
                  <w:sz w:val="18"/>
                </w:rPr>
                <w:t>m</w:t>
              </w:r>
            </w:hyperlink>
            <w:r>
              <w:rPr>
                <w:color w:val="231F20"/>
                <w:spacing w:val="-63"/>
                <w:sz w:val="18"/>
              </w:rPr>
              <w:t>）</w:t>
            </w:r>
            <w:r>
              <w:rPr>
                <w:color w:val="231F20"/>
                <w:spacing w:val="-30"/>
                <w:sz w:val="18"/>
              </w:rPr>
              <w:t>、新疆银行</w:t>
            </w:r>
            <w:proofErr w:type="gramStart"/>
            <w:r>
              <w:rPr>
                <w:color w:val="231F20"/>
                <w:spacing w:val="-30"/>
                <w:sz w:val="18"/>
              </w:rPr>
              <w:t>官方微信等</w:t>
            </w:r>
            <w:proofErr w:type="gramEnd"/>
            <w:r>
              <w:rPr>
                <w:color w:val="231F20"/>
                <w:spacing w:val="-30"/>
                <w:sz w:val="18"/>
              </w:rPr>
              <w:t>信息渠道公告延后支付的信息。</w:t>
            </w:r>
          </w:p>
        </w:tc>
      </w:tr>
      <w:tr w:rsidR="00AE265E">
        <w:trPr>
          <w:trHeight w:val="1490"/>
        </w:trPr>
        <w:tc>
          <w:tcPr>
            <w:tcW w:w="1531" w:type="dxa"/>
          </w:tcPr>
          <w:p w:rsidR="00AE265E" w:rsidRDefault="00AE265E">
            <w:pPr>
              <w:pStyle w:val="TableParagraph"/>
              <w:spacing w:before="0"/>
              <w:ind w:left="0"/>
              <w:rPr>
                <w:rFonts w:ascii="宋体"/>
                <w:sz w:val="20"/>
              </w:rPr>
            </w:pPr>
          </w:p>
          <w:p w:rsidR="00AE265E" w:rsidRDefault="00AE265E">
            <w:pPr>
              <w:pStyle w:val="TableParagraph"/>
              <w:spacing w:before="1"/>
              <w:ind w:left="0"/>
              <w:rPr>
                <w:rFonts w:ascii="宋体"/>
                <w:sz w:val="21"/>
              </w:rPr>
            </w:pPr>
          </w:p>
          <w:p w:rsidR="00AE265E" w:rsidRDefault="00322ACD">
            <w:pPr>
              <w:pStyle w:val="TableParagraph"/>
              <w:spacing w:before="0" w:line="227" w:lineRule="exact"/>
              <w:ind w:right="106"/>
              <w:jc w:val="center"/>
              <w:rPr>
                <w:sz w:val="18"/>
              </w:rPr>
            </w:pPr>
            <w:r>
              <w:rPr>
                <w:color w:val="231F20"/>
                <w:sz w:val="18"/>
              </w:rPr>
              <w:t>银行管理费率</w:t>
            </w:r>
          </w:p>
          <w:p w:rsidR="00AE265E" w:rsidRDefault="00322ACD">
            <w:pPr>
              <w:pStyle w:val="TableParagraph"/>
              <w:spacing w:before="0" w:line="227" w:lineRule="exact"/>
              <w:ind w:right="106"/>
              <w:jc w:val="center"/>
              <w:rPr>
                <w:sz w:val="18"/>
              </w:rPr>
            </w:pPr>
            <w:r>
              <w:rPr>
                <w:color w:val="231F20"/>
                <w:sz w:val="18"/>
              </w:rPr>
              <w:t>（年）</w:t>
            </w:r>
          </w:p>
        </w:tc>
        <w:tc>
          <w:tcPr>
            <w:tcW w:w="8972" w:type="dxa"/>
          </w:tcPr>
          <w:p w:rsidR="00AE265E" w:rsidRDefault="00322ACD">
            <w:pPr>
              <w:pStyle w:val="TableParagraph"/>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r>
              <w:rPr>
                <w:color w:val="231F20"/>
                <w:spacing w:val="-20"/>
                <w:sz w:val="18"/>
              </w:rPr>
              <w:t>%</w:t>
            </w:r>
            <w:r>
              <w:rPr>
                <w:color w:val="231F20"/>
                <w:spacing w:val="-20"/>
                <w:sz w:val="18"/>
              </w:rPr>
              <w:t>。</w:t>
            </w:r>
          </w:p>
          <w:p w:rsidR="00AE265E" w:rsidRDefault="00322ACD">
            <w:pPr>
              <w:pStyle w:val="TableParagraph"/>
              <w:spacing w:before="0" w:line="192" w:lineRule="exact"/>
              <w:ind w:left="107"/>
              <w:rPr>
                <w:sz w:val="18"/>
              </w:rPr>
            </w:pPr>
            <w:r>
              <w:rPr>
                <w:color w:val="231F20"/>
                <w:w w:val="105"/>
                <w:sz w:val="18"/>
              </w:rPr>
              <w:t>产品托管费：根据理财本金，按日计算，在产品到期兑付时一次性收取，</w:t>
            </w:r>
            <w:proofErr w:type="gramStart"/>
            <w:r>
              <w:rPr>
                <w:color w:val="231F20"/>
                <w:w w:val="105"/>
                <w:sz w:val="18"/>
              </w:rPr>
              <w:t>托管费年化费</w:t>
            </w:r>
            <w:proofErr w:type="gramEnd"/>
            <w:r>
              <w:rPr>
                <w:color w:val="231F20"/>
                <w:w w:val="105"/>
                <w:sz w:val="18"/>
              </w:rPr>
              <w:t>率为【</w:t>
            </w:r>
            <w:r>
              <w:rPr>
                <w:color w:val="231F20"/>
                <w:w w:val="105"/>
                <w:sz w:val="18"/>
              </w:rPr>
              <w:t>0.01</w:t>
            </w:r>
            <w:r>
              <w:rPr>
                <w:color w:val="231F20"/>
                <w:w w:val="105"/>
                <w:sz w:val="18"/>
              </w:rPr>
              <w:t>】</w:t>
            </w:r>
            <w:r>
              <w:rPr>
                <w:color w:val="231F20"/>
                <w:w w:val="105"/>
                <w:sz w:val="18"/>
              </w:rPr>
              <w:t>%</w:t>
            </w:r>
            <w:r>
              <w:rPr>
                <w:color w:val="231F20"/>
                <w:w w:val="105"/>
                <w:sz w:val="18"/>
              </w:rPr>
              <w:t>。</w:t>
            </w:r>
          </w:p>
          <w:p w:rsidR="00AE265E" w:rsidRDefault="00322ACD">
            <w:pPr>
              <w:pStyle w:val="TableParagraph"/>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w:t>
            </w:r>
            <w:proofErr w:type="gramStart"/>
            <w:r>
              <w:rPr>
                <w:spacing w:val="-10"/>
                <w:sz w:val="18"/>
              </w:rPr>
              <w:t>年化收益</w:t>
            </w:r>
            <w:proofErr w:type="gramEnd"/>
            <w:r>
              <w:rPr>
                <w:spacing w:val="-10"/>
                <w:sz w:val="18"/>
              </w:rPr>
              <w:t>及销售管理费、产品托管费等规定费率后的剩余部分为投资管理</w:t>
            </w:r>
            <w:r>
              <w:rPr>
                <w:spacing w:val="-7"/>
                <w:sz w:val="18"/>
              </w:rPr>
              <w:t>费。若理财产品实际投资收益等于或小于本产品的</w:t>
            </w:r>
            <w:proofErr w:type="gramStart"/>
            <w:r>
              <w:rPr>
                <w:spacing w:val="-7"/>
                <w:sz w:val="18"/>
              </w:rPr>
              <w:t>参考年化收益</w:t>
            </w:r>
            <w:proofErr w:type="gramEnd"/>
            <w:r>
              <w:rPr>
                <w:spacing w:val="-7"/>
                <w:sz w:val="18"/>
              </w:rPr>
              <w:t>、托管费及销售管理费之和，新疆银行不收取投</w:t>
            </w:r>
          </w:p>
          <w:p w:rsidR="00AE265E" w:rsidRDefault="00322ACD">
            <w:pPr>
              <w:pStyle w:val="TableParagraph"/>
              <w:spacing w:before="0" w:line="196" w:lineRule="exact"/>
              <w:ind w:left="107"/>
              <w:rPr>
                <w:sz w:val="18"/>
              </w:rPr>
            </w:pPr>
            <w:r>
              <w:rPr>
                <w:sz w:val="18"/>
              </w:rPr>
              <w:t>资管理费。</w:t>
            </w:r>
          </w:p>
        </w:tc>
      </w:tr>
      <w:tr w:rsidR="00AE265E">
        <w:trPr>
          <w:trHeight w:val="881"/>
        </w:trPr>
        <w:tc>
          <w:tcPr>
            <w:tcW w:w="1531" w:type="dxa"/>
          </w:tcPr>
          <w:p w:rsidR="00AE265E" w:rsidRDefault="00AE265E">
            <w:pPr>
              <w:pStyle w:val="TableParagraph"/>
              <w:spacing w:before="0"/>
              <w:ind w:left="0"/>
              <w:rPr>
                <w:rFonts w:ascii="宋体"/>
                <w:sz w:val="20"/>
              </w:rPr>
            </w:pPr>
          </w:p>
          <w:p w:rsidR="00AE265E" w:rsidRDefault="00322ACD">
            <w:pPr>
              <w:pStyle w:val="TableParagraph"/>
              <w:spacing w:before="0" w:line="194" w:lineRule="auto"/>
              <w:ind w:left="405" w:right="123" w:hanging="270"/>
              <w:rPr>
                <w:sz w:val="18"/>
              </w:rPr>
            </w:pPr>
            <w:r>
              <w:rPr>
                <w:color w:val="231F20"/>
                <w:sz w:val="18"/>
              </w:rPr>
              <w:t>理财产品</w:t>
            </w:r>
            <w:proofErr w:type="gramStart"/>
            <w:r>
              <w:rPr>
                <w:color w:val="231F20"/>
                <w:sz w:val="18"/>
              </w:rPr>
              <w:t>参考年化收益率</w:t>
            </w:r>
            <w:proofErr w:type="gramEnd"/>
          </w:p>
        </w:tc>
        <w:tc>
          <w:tcPr>
            <w:tcW w:w="8972" w:type="dxa"/>
          </w:tcPr>
          <w:p w:rsidR="00AE265E" w:rsidRDefault="00322ACD">
            <w:pPr>
              <w:pStyle w:val="TableParagraph"/>
              <w:tabs>
                <w:tab w:val="left" w:pos="2695"/>
              </w:tabs>
              <w:spacing w:before="36" w:line="204" w:lineRule="exact"/>
              <w:ind w:left="107" w:right="122"/>
              <w:rPr>
                <w:sz w:val="18"/>
              </w:rPr>
            </w:pPr>
            <w:r>
              <w:rPr>
                <w:color w:val="231F20"/>
                <w:sz w:val="18"/>
              </w:rPr>
              <w:t>本产品的</w:t>
            </w:r>
            <w:proofErr w:type="gramStart"/>
            <w:r>
              <w:rPr>
                <w:color w:val="231F20"/>
                <w:sz w:val="18"/>
              </w:rPr>
              <w:t>参考年化收益</w:t>
            </w:r>
            <w:r>
              <w:rPr>
                <w:color w:val="231F20"/>
                <w:spacing w:val="-60"/>
                <w:sz w:val="18"/>
              </w:rPr>
              <w:t>率</w:t>
            </w:r>
            <w:proofErr w:type="gramEnd"/>
            <w:r>
              <w:rPr>
                <w:color w:val="231F20"/>
                <w:sz w:val="18"/>
              </w:rPr>
              <w:t>【</w:t>
            </w:r>
            <w:r>
              <w:rPr>
                <w:rFonts w:eastAsiaTheme="minorEastAsia" w:hint="eastAsia"/>
                <w:color w:val="231F20"/>
                <w:sz w:val="18"/>
              </w:rPr>
              <w:t xml:space="preserve"> </w:t>
            </w:r>
            <w:r>
              <w:rPr>
                <w:rFonts w:eastAsiaTheme="minorEastAsia" w:hint="eastAsia"/>
                <w:color w:val="231F20"/>
                <w:sz w:val="18"/>
                <w:lang w:val="en-US"/>
              </w:rPr>
              <w:t>4.4</w:t>
            </w:r>
            <w:r>
              <w:rPr>
                <w:color w:val="231F20"/>
                <w:spacing w:val="-60"/>
                <w:sz w:val="18"/>
              </w:rPr>
              <w:t>】</w:t>
            </w:r>
            <w:r>
              <w:rPr>
                <w:color w:val="231F20"/>
                <w:sz w:val="18"/>
              </w:rPr>
              <w:t>％。新疆银行将在产品的募集期开始前至少一个工作日公布本理财产品的</w:t>
            </w:r>
            <w:proofErr w:type="gramStart"/>
            <w:r>
              <w:rPr>
                <w:color w:val="231F20"/>
                <w:sz w:val="18"/>
              </w:rPr>
              <w:t>参考年化收益率</w:t>
            </w:r>
            <w:proofErr w:type="gramEnd"/>
            <w:r>
              <w:rPr>
                <w:color w:val="231F20"/>
                <w:sz w:val="18"/>
              </w:rPr>
              <w:t>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w:t>
            </w:r>
            <w:proofErr w:type="gramStart"/>
            <w:r>
              <w:rPr>
                <w:color w:val="231F20"/>
                <w:sz w:val="18"/>
              </w:rPr>
              <w:t>参考年化收益率</w:t>
            </w:r>
            <w:proofErr w:type="gramEnd"/>
            <w:r>
              <w:rPr>
                <w:color w:val="231F20"/>
                <w:sz w:val="18"/>
              </w:rPr>
              <w:t>是根据产品所投资组合资产的总收益率测算得出</w:t>
            </w:r>
            <w:r>
              <w:rPr>
                <w:color w:val="231F20"/>
                <w:spacing w:val="-91"/>
                <w:sz w:val="18"/>
              </w:rPr>
              <w:t>，</w:t>
            </w:r>
            <w:r>
              <w:rPr>
                <w:color w:val="231F20"/>
                <w:sz w:val="18"/>
              </w:rPr>
              <w:t>该收益率为本理财产品拟投资的投资</w:t>
            </w:r>
            <w:proofErr w:type="gramStart"/>
            <w:r>
              <w:rPr>
                <w:color w:val="231F20"/>
                <w:sz w:val="18"/>
              </w:rPr>
              <w:t>标的年化收益率</w:t>
            </w:r>
            <w:proofErr w:type="gramEnd"/>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rsidR="00AE265E">
        <w:trPr>
          <w:trHeight w:val="330"/>
        </w:trPr>
        <w:tc>
          <w:tcPr>
            <w:tcW w:w="1531" w:type="dxa"/>
          </w:tcPr>
          <w:p w:rsidR="00AE265E" w:rsidRDefault="00322ACD">
            <w:pPr>
              <w:pStyle w:val="TableParagraph"/>
              <w:ind w:right="106"/>
              <w:jc w:val="center"/>
              <w:rPr>
                <w:sz w:val="18"/>
              </w:rPr>
            </w:pPr>
            <w:r>
              <w:rPr>
                <w:color w:val="231F20"/>
                <w:sz w:val="18"/>
              </w:rPr>
              <w:t>认购起点金额</w:t>
            </w:r>
          </w:p>
        </w:tc>
        <w:tc>
          <w:tcPr>
            <w:tcW w:w="8972" w:type="dxa"/>
          </w:tcPr>
          <w:p w:rsidR="00AE265E" w:rsidRDefault="00322ACD">
            <w:pPr>
              <w:pStyle w:val="TableParagraph"/>
              <w:ind w:left="107"/>
              <w:rPr>
                <w:sz w:val="18"/>
              </w:rPr>
            </w:pPr>
            <w:r>
              <w:rPr>
                <w:rFonts w:eastAsiaTheme="minorEastAsia" w:hint="eastAsia"/>
                <w:color w:val="231F20"/>
                <w:sz w:val="18"/>
              </w:rPr>
              <w:t>1</w:t>
            </w:r>
            <w:r>
              <w:rPr>
                <w:color w:val="231F20"/>
                <w:sz w:val="18"/>
              </w:rPr>
              <w:t xml:space="preserve"> </w:t>
            </w:r>
            <w:r>
              <w:rPr>
                <w:color w:val="231F20"/>
                <w:sz w:val="18"/>
              </w:rPr>
              <w:t>万元，以</w:t>
            </w:r>
            <w:r>
              <w:rPr>
                <w:color w:val="231F20"/>
                <w:sz w:val="18"/>
              </w:rPr>
              <w:t xml:space="preserve">1 </w:t>
            </w:r>
            <w:r>
              <w:rPr>
                <w:rFonts w:eastAsiaTheme="minorEastAsia" w:hint="eastAsia"/>
                <w:color w:val="231F20"/>
                <w:sz w:val="18"/>
              </w:rPr>
              <w:t>千</w:t>
            </w:r>
            <w:r>
              <w:rPr>
                <w:color w:val="231F20"/>
                <w:sz w:val="18"/>
              </w:rPr>
              <w:t>元整数</w:t>
            </w:r>
            <w:proofErr w:type="gramStart"/>
            <w:r>
              <w:rPr>
                <w:color w:val="231F20"/>
                <w:sz w:val="18"/>
              </w:rPr>
              <w:t>倍</w:t>
            </w:r>
            <w:proofErr w:type="gramEnd"/>
            <w:r>
              <w:rPr>
                <w:color w:val="231F20"/>
                <w:sz w:val="18"/>
              </w:rPr>
              <w:t>递增。</w:t>
            </w:r>
          </w:p>
        </w:tc>
      </w:tr>
      <w:tr w:rsidR="00AE265E">
        <w:trPr>
          <w:trHeight w:val="475"/>
        </w:trPr>
        <w:tc>
          <w:tcPr>
            <w:tcW w:w="1531" w:type="dxa"/>
          </w:tcPr>
          <w:p w:rsidR="00AE265E" w:rsidRDefault="00322ACD">
            <w:pPr>
              <w:pStyle w:val="TableParagraph"/>
              <w:spacing w:before="120"/>
              <w:ind w:right="106"/>
              <w:jc w:val="center"/>
              <w:rPr>
                <w:sz w:val="18"/>
              </w:rPr>
            </w:pPr>
            <w:r>
              <w:rPr>
                <w:color w:val="231F20"/>
                <w:sz w:val="18"/>
              </w:rPr>
              <w:t>最小起息金额</w:t>
            </w:r>
          </w:p>
        </w:tc>
        <w:tc>
          <w:tcPr>
            <w:tcW w:w="8972" w:type="dxa"/>
          </w:tcPr>
          <w:p w:rsidR="00AE265E" w:rsidRDefault="00322ACD">
            <w:pPr>
              <w:pStyle w:val="TableParagraph"/>
              <w:spacing w:before="19" w:line="227" w:lineRule="exact"/>
              <w:ind w:left="107"/>
              <w:rPr>
                <w:sz w:val="18"/>
              </w:rPr>
            </w:pPr>
            <w:r>
              <w:rPr>
                <w:color w:val="231F20"/>
                <w:spacing w:val="2"/>
                <w:sz w:val="18"/>
              </w:rPr>
              <w:t>本产品最小起息金额</w:t>
            </w:r>
            <w:r>
              <w:rPr>
                <w:rFonts w:eastAsia="宋体" w:hint="eastAsia"/>
                <w:color w:val="231F20"/>
                <w:spacing w:val="2"/>
                <w:sz w:val="18"/>
                <w:lang w:val="en-US"/>
              </w:rPr>
              <w:t>10</w:t>
            </w:r>
            <w:r>
              <w:rPr>
                <w:color w:val="231F20"/>
                <w:sz w:val="18"/>
              </w:rPr>
              <w:t>00</w:t>
            </w:r>
            <w:r>
              <w:rPr>
                <w:color w:val="231F20"/>
                <w:spacing w:val="-11"/>
                <w:sz w:val="18"/>
              </w:rPr>
              <w:t xml:space="preserve"> </w:t>
            </w:r>
            <w:r>
              <w:rPr>
                <w:color w:val="231F20"/>
                <w:spacing w:val="-11"/>
                <w:sz w:val="18"/>
              </w:rPr>
              <w:t>万元。若产品销售结束时，募集的理财资金少于</w:t>
            </w:r>
            <w:r>
              <w:rPr>
                <w:rFonts w:eastAsia="宋体" w:hint="eastAsia"/>
                <w:color w:val="231F20"/>
                <w:spacing w:val="-11"/>
                <w:sz w:val="18"/>
                <w:lang w:val="en-US"/>
              </w:rPr>
              <w:t>1</w:t>
            </w:r>
            <w:r>
              <w:rPr>
                <w:color w:val="231F20"/>
                <w:sz w:val="18"/>
              </w:rPr>
              <w:t>000</w:t>
            </w:r>
            <w:r>
              <w:rPr>
                <w:color w:val="231F20"/>
                <w:spacing w:val="-16"/>
                <w:sz w:val="18"/>
              </w:rPr>
              <w:t xml:space="preserve"> </w:t>
            </w:r>
            <w:r>
              <w:rPr>
                <w:color w:val="231F20"/>
                <w:spacing w:val="-16"/>
                <w:sz w:val="18"/>
              </w:rPr>
              <w:t>万元，本产品视为募集失败，不起</w:t>
            </w:r>
          </w:p>
          <w:p w:rsidR="00AE265E" w:rsidRDefault="00322ACD">
            <w:pPr>
              <w:pStyle w:val="TableParagraph"/>
              <w:spacing w:before="0" w:line="209" w:lineRule="exact"/>
              <w:ind w:left="107"/>
              <w:rPr>
                <w:sz w:val="18"/>
              </w:rPr>
            </w:pPr>
            <w:r>
              <w:rPr>
                <w:color w:val="231F20"/>
                <w:sz w:val="18"/>
              </w:rPr>
              <w:t>息，理财本金将在募集期结束后</w:t>
            </w:r>
            <w:r>
              <w:rPr>
                <w:color w:val="231F20"/>
                <w:sz w:val="18"/>
              </w:rPr>
              <w:t xml:space="preserve">3 </w:t>
            </w:r>
            <w:proofErr w:type="gramStart"/>
            <w:r>
              <w:rPr>
                <w:color w:val="231F20"/>
                <w:sz w:val="18"/>
              </w:rPr>
              <w:t>个</w:t>
            </w:r>
            <w:proofErr w:type="gramEnd"/>
            <w:r>
              <w:rPr>
                <w:color w:val="231F20"/>
                <w:sz w:val="18"/>
              </w:rPr>
              <w:t>工作日内返还投资人。</w:t>
            </w:r>
          </w:p>
        </w:tc>
      </w:tr>
    </w:tbl>
    <w:p w:rsidR="00AE265E" w:rsidRDefault="00AE265E">
      <w:pPr>
        <w:spacing w:line="209" w:lineRule="exact"/>
        <w:rPr>
          <w:sz w:val="18"/>
        </w:rPr>
        <w:sectPr w:rsidR="00AE265E">
          <w:footerReference w:type="default" r:id="rId12"/>
          <w:type w:val="continuous"/>
          <w:pgSz w:w="11910" w:h="16840"/>
          <w:pgMar w:top="0" w:right="0" w:bottom="500" w:left="0" w:header="720" w:footer="311" w:gutter="0"/>
          <w:pgNumType w:start="1"/>
          <w:cols w:space="720"/>
        </w:sectPr>
      </w:pPr>
    </w:p>
    <w:p w:rsidR="00AE265E" w:rsidRDefault="00322ACD">
      <w:pPr>
        <w:pStyle w:val="a3"/>
        <w:spacing w:line="93" w:lineRule="exact"/>
        <w:ind w:left="5453"/>
        <w:rPr>
          <w:rFonts w:ascii="宋体"/>
          <w:sz w:val="9"/>
        </w:rPr>
      </w:pPr>
      <w:r>
        <w:rPr>
          <w:rFonts w:ascii="宋体"/>
          <w:noProof/>
          <w:position w:val="-1"/>
          <w:sz w:val="9"/>
          <w:lang w:val="en-US" w:bidi="ar-SA"/>
        </w:rPr>
        <w:lastRenderedPageBreak/>
        <w:drawing>
          <wp:inline distT="0" distB="0" distL="0" distR="0">
            <wp:extent cx="165100" cy="59055"/>
            <wp:effectExtent l="0" t="0" r="0" b="0"/>
            <wp:docPr id="3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8.png"/>
                    <pic:cNvPicPr>
                      <a:picLocks noChangeAspect="1"/>
                    </pic:cNvPicPr>
                  </pic:nvPicPr>
                  <pic:blipFill>
                    <a:blip r:embed="rId10" cstate="print"/>
                    <a:stretch>
                      <a:fillRect/>
                    </a:stretch>
                  </pic:blipFill>
                  <pic:spPr>
                    <a:xfrm>
                      <a:off x="0" y="0"/>
                      <a:ext cx="165159" cy="59435"/>
                    </a:xfrm>
                    <a:prstGeom prst="rect">
                      <a:avLst/>
                    </a:prstGeom>
                  </pic:spPr>
                </pic:pic>
              </a:graphicData>
            </a:graphic>
          </wp:inline>
        </w:drawing>
      </w:r>
    </w:p>
    <w:p w:rsidR="00AE265E" w:rsidRDefault="00AE265E">
      <w:pPr>
        <w:pStyle w:val="a3"/>
        <w:rPr>
          <w:rFonts w:ascii="宋体"/>
          <w:sz w:val="20"/>
        </w:rPr>
      </w:pPr>
    </w:p>
    <w:p w:rsidR="00AE265E" w:rsidRDefault="00AE265E">
      <w:pPr>
        <w:pStyle w:val="a3"/>
        <w:rPr>
          <w:rFonts w:ascii="宋体"/>
          <w:sz w:val="20"/>
        </w:rPr>
      </w:pPr>
    </w:p>
    <w:p w:rsidR="00AE265E" w:rsidRDefault="00AE265E">
      <w:pPr>
        <w:pStyle w:val="a3"/>
        <w:rPr>
          <w:rFonts w:ascii="宋体"/>
          <w:sz w:val="20"/>
        </w:rPr>
      </w:pPr>
    </w:p>
    <w:p w:rsidR="00AE265E" w:rsidRDefault="00AE265E">
      <w:pPr>
        <w:pStyle w:val="a3"/>
        <w:rPr>
          <w:rFonts w:ascii="宋体"/>
          <w:sz w:val="20"/>
        </w:rPr>
      </w:pPr>
    </w:p>
    <w:p w:rsidR="00AE265E" w:rsidRDefault="00AE265E">
      <w:pPr>
        <w:pStyle w:val="a3"/>
        <w:rPr>
          <w:rFonts w:ascii="宋体"/>
          <w:sz w:val="20"/>
        </w:rPr>
      </w:pPr>
    </w:p>
    <w:p w:rsidR="00AE265E" w:rsidRDefault="00AE265E">
      <w:pPr>
        <w:pStyle w:val="a3"/>
        <w:spacing w:before="5"/>
        <w:rPr>
          <w:rFonts w:ascii="宋体"/>
          <w:sz w:val="10"/>
        </w:rPr>
      </w:pPr>
    </w:p>
    <w:tbl>
      <w:tblPr>
        <w:tblW w:w="10503" w:type="dxa"/>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31"/>
        <w:gridCol w:w="8972"/>
      </w:tblGrid>
      <w:tr w:rsidR="00AE265E">
        <w:trPr>
          <w:trHeight w:val="330"/>
        </w:trPr>
        <w:tc>
          <w:tcPr>
            <w:tcW w:w="1531" w:type="dxa"/>
          </w:tcPr>
          <w:p w:rsidR="00AE265E" w:rsidRDefault="00322ACD">
            <w:pPr>
              <w:pStyle w:val="TableParagraph"/>
              <w:ind w:right="106"/>
              <w:jc w:val="center"/>
              <w:rPr>
                <w:rFonts w:ascii="宋体" w:eastAsia="宋体"/>
                <w:sz w:val="18"/>
              </w:rPr>
            </w:pPr>
            <w:r>
              <w:rPr>
                <w:rFonts w:ascii="宋体" w:eastAsia="宋体" w:hint="eastAsia"/>
                <w:color w:val="231F20"/>
                <w:sz w:val="18"/>
              </w:rPr>
              <w:t>收益支付频率</w:t>
            </w:r>
          </w:p>
        </w:tc>
        <w:tc>
          <w:tcPr>
            <w:tcW w:w="8972" w:type="dxa"/>
          </w:tcPr>
          <w:p w:rsidR="00AE265E" w:rsidRDefault="00322ACD">
            <w:pPr>
              <w:pStyle w:val="TableParagraph"/>
              <w:ind w:left="107"/>
              <w:rPr>
                <w:rFonts w:ascii="宋体" w:eastAsia="宋体"/>
                <w:sz w:val="18"/>
              </w:rPr>
            </w:pPr>
            <w:r>
              <w:rPr>
                <w:rFonts w:ascii="宋体" w:eastAsia="宋体" w:hint="eastAsia"/>
                <w:color w:val="231F20"/>
                <w:sz w:val="18"/>
              </w:rPr>
              <w:t>到期时或提前终止时一次性支付</w:t>
            </w:r>
          </w:p>
        </w:tc>
      </w:tr>
      <w:tr w:rsidR="00AE265E">
        <w:trPr>
          <w:trHeight w:val="486"/>
        </w:trPr>
        <w:tc>
          <w:tcPr>
            <w:tcW w:w="1531" w:type="dxa"/>
          </w:tcPr>
          <w:p w:rsidR="00AE265E" w:rsidRDefault="00322ACD">
            <w:pPr>
              <w:pStyle w:val="TableParagraph"/>
              <w:spacing w:before="126"/>
              <w:ind w:right="106"/>
              <w:jc w:val="center"/>
              <w:rPr>
                <w:sz w:val="18"/>
              </w:rPr>
            </w:pPr>
            <w:r>
              <w:rPr>
                <w:color w:val="231F20"/>
                <w:sz w:val="18"/>
              </w:rPr>
              <w:t>延期支付权</w:t>
            </w:r>
          </w:p>
        </w:tc>
        <w:tc>
          <w:tcPr>
            <w:tcW w:w="8972" w:type="dxa"/>
          </w:tcPr>
          <w:p w:rsidR="00AE265E" w:rsidRDefault="00322ACD">
            <w:pPr>
              <w:pStyle w:val="TableParagraph"/>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rsidR="00AE265E">
        <w:trPr>
          <w:trHeight w:val="330"/>
        </w:trPr>
        <w:tc>
          <w:tcPr>
            <w:tcW w:w="1531" w:type="dxa"/>
          </w:tcPr>
          <w:p w:rsidR="00AE265E" w:rsidRDefault="00322ACD">
            <w:pPr>
              <w:pStyle w:val="TableParagraph"/>
              <w:ind w:right="106"/>
              <w:jc w:val="center"/>
              <w:rPr>
                <w:sz w:val="18"/>
              </w:rPr>
            </w:pPr>
            <w:r>
              <w:rPr>
                <w:color w:val="231F20"/>
                <w:sz w:val="18"/>
              </w:rPr>
              <w:t>工作日</w:t>
            </w:r>
          </w:p>
        </w:tc>
        <w:tc>
          <w:tcPr>
            <w:tcW w:w="8972" w:type="dxa"/>
          </w:tcPr>
          <w:p w:rsidR="00AE265E" w:rsidRDefault="00322ACD">
            <w:pPr>
              <w:pStyle w:val="TableParagraph"/>
              <w:ind w:left="56"/>
              <w:rPr>
                <w:sz w:val="18"/>
              </w:rPr>
            </w:pPr>
            <w:r>
              <w:rPr>
                <w:color w:val="231F20"/>
                <w:sz w:val="18"/>
              </w:rPr>
              <w:t>国家法定工作日</w:t>
            </w:r>
          </w:p>
        </w:tc>
      </w:tr>
      <w:tr w:rsidR="00AE265E">
        <w:trPr>
          <w:trHeight w:val="689"/>
        </w:trPr>
        <w:tc>
          <w:tcPr>
            <w:tcW w:w="1531" w:type="dxa"/>
          </w:tcPr>
          <w:p w:rsidR="00AE265E" w:rsidRDefault="00AE265E">
            <w:pPr>
              <w:pStyle w:val="TableParagraph"/>
              <w:spacing w:before="10"/>
              <w:ind w:left="0"/>
              <w:rPr>
                <w:rFonts w:ascii="宋体"/>
                <w:sz w:val="17"/>
              </w:rPr>
            </w:pPr>
          </w:p>
          <w:p w:rsidR="00AE265E" w:rsidRDefault="00322ACD">
            <w:pPr>
              <w:pStyle w:val="TableParagraph"/>
              <w:spacing w:before="0"/>
              <w:ind w:right="106"/>
              <w:jc w:val="center"/>
              <w:rPr>
                <w:sz w:val="18"/>
              </w:rPr>
            </w:pPr>
            <w:r>
              <w:rPr>
                <w:color w:val="231F20"/>
                <w:sz w:val="18"/>
              </w:rPr>
              <w:t>收益计算方法</w:t>
            </w:r>
          </w:p>
        </w:tc>
        <w:tc>
          <w:tcPr>
            <w:tcW w:w="8972" w:type="dxa"/>
          </w:tcPr>
          <w:p w:rsidR="00AE265E" w:rsidRDefault="00322ACD">
            <w:pPr>
              <w:pStyle w:val="TableParagraph"/>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w:t>
            </w:r>
            <w:proofErr w:type="gramStart"/>
            <w:r>
              <w:rPr>
                <w:color w:val="231F20"/>
                <w:w w:val="110"/>
                <w:sz w:val="18"/>
              </w:rPr>
              <w:t>期年化</w:t>
            </w:r>
            <w:proofErr w:type="gramEnd"/>
            <w:r>
              <w:rPr>
                <w:color w:val="231F20"/>
                <w:w w:val="110"/>
                <w:sz w:val="18"/>
              </w:rPr>
              <w:t>收益率</w:t>
            </w:r>
            <w:r>
              <w:rPr>
                <w:color w:val="231F20"/>
                <w:w w:val="125"/>
                <w:sz w:val="18"/>
              </w:rPr>
              <w:t>/365×</w:t>
            </w:r>
            <w:r>
              <w:rPr>
                <w:color w:val="231F20"/>
                <w:w w:val="110"/>
                <w:sz w:val="18"/>
              </w:rPr>
              <w:t>实际理财天数</w:t>
            </w:r>
          </w:p>
          <w:p w:rsidR="00AE265E" w:rsidRDefault="00322ACD">
            <w:pPr>
              <w:pStyle w:val="TableParagraph"/>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rsidR="00AE265E" w:rsidRDefault="00322ACD">
            <w:pPr>
              <w:pStyle w:val="TableParagraph"/>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rsidR="00AE265E">
        <w:trPr>
          <w:trHeight w:val="486"/>
        </w:trPr>
        <w:tc>
          <w:tcPr>
            <w:tcW w:w="1531" w:type="dxa"/>
          </w:tcPr>
          <w:p w:rsidR="00AE265E" w:rsidRDefault="00322ACD">
            <w:pPr>
              <w:pStyle w:val="TableParagraph"/>
              <w:spacing w:before="126"/>
              <w:ind w:right="106"/>
              <w:jc w:val="center"/>
              <w:rPr>
                <w:sz w:val="18"/>
              </w:rPr>
            </w:pPr>
            <w:r>
              <w:rPr>
                <w:color w:val="231F20"/>
                <w:sz w:val="18"/>
              </w:rPr>
              <w:t>对账单</w:t>
            </w:r>
          </w:p>
        </w:tc>
        <w:tc>
          <w:tcPr>
            <w:tcW w:w="8972" w:type="dxa"/>
          </w:tcPr>
          <w:p w:rsidR="00AE265E" w:rsidRDefault="00322ACD">
            <w:pPr>
              <w:pStyle w:val="TableParagraph"/>
              <w:spacing w:before="41" w:line="204" w:lineRule="exact"/>
              <w:ind w:left="56" w:right="152"/>
              <w:rPr>
                <w:sz w:val="18"/>
              </w:rPr>
            </w:pPr>
            <w:r>
              <w:rPr>
                <w:color w:val="231F20"/>
                <w:spacing w:val="-3"/>
                <w:sz w:val="18"/>
              </w:rPr>
              <w:t>投资人同意通过新疆银行官方网站</w:t>
            </w:r>
            <w:r>
              <w:rPr>
                <w:color w:val="231F20"/>
                <w:spacing w:val="-9"/>
                <w:sz w:val="18"/>
              </w:rPr>
              <w:t>（</w:t>
            </w:r>
            <w:hyperlink r:id="rId13">
              <w:r>
                <w:rPr>
                  <w:color w:val="231F20"/>
                  <w:spacing w:val="-9"/>
                  <w:sz w:val="18"/>
                </w:rPr>
                <w:t>www.xjbank.com</w:t>
              </w:r>
            </w:hyperlink>
            <w:r>
              <w:rPr>
                <w:color w:val="231F20"/>
                <w:spacing w:val="-9"/>
                <w:sz w:val="18"/>
              </w:rPr>
              <w:t>）</w:t>
            </w:r>
            <w:r>
              <w:rPr>
                <w:color w:val="231F20"/>
                <w:spacing w:val="-10"/>
                <w:sz w:val="18"/>
              </w:rPr>
              <w:t>、新疆银行</w:t>
            </w:r>
            <w:proofErr w:type="gramStart"/>
            <w:r>
              <w:rPr>
                <w:color w:val="231F20"/>
                <w:spacing w:val="-10"/>
                <w:sz w:val="18"/>
              </w:rPr>
              <w:t>官方微信</w:t>
            </w:r>
            <w:r>
              <w:rPr>
                <w:rFonts w:eastAsia="宋体" w:hint="eastAsia"/>
                <w:color w:val="231F20"/>
                <w:spacing w:val="-10"/>
                <w:sz w:val="18"/>
              </w:rPr>
              <w:t>或</w:t>
            </w:r>
            <w:proofErr w:type="gramEnd"/>
            <w:r>
              <w:rPr>
                <w:color w:val="231F20"/>
                <w:spacing w:val="-10"/>
                <w:sz w:val="18"/>
              </w:rPr>
              <w:t>相关</w:t>
            </w:r>
            <w:r>
              <w:rPr>
                <w:rFonts w:eastAsia="宋体" w:hint="eastAsia"/>
                <w:color w:val="231F20"/>
                <w:spacing w:val="-10"/>
                <w:sz w:val="18"/>
              </w:rPr>
              <w:t>电子渠道及</w:t>
            </w:r>
            <w:r>
              <w:rPr>
                <w:color w:val="231F20"/>
                <w:spacing w:val="-10"/>
                <w:sz w:val="18"/>
              </w:rPr>
              <w:t>营业网点及时了解</w:t>
            </w:r>
            <w:r>
              <w:rPr>
                <w:rFonts w:eastAsia="宋体" w:hint="eastAsia"/>
                <w:color w:val="231F20"/>
                <w:spacing w:val="-10"/>
                <w:sz w:val="18"/>
              </w:rPr>
              <w:t>产品</w:t>
            </w:r>
            <w:r>
              <w:rPr>
                <w:color w:val="231F20"/>
                <w:spacing w:val="-10"/>
                <w:sz w:val="18"/>
              </w:rPr>
              <w:t>相关信息。</w:t>
            </w:r>
          </w:p>
        </w:tc>
      </w:tr>
      <w:tr w:rsidR="00AE265E">
        <w:trPr>
          <w:trHeight w:val="1024"/>
        </w:trPr>
        <w:tc>
          <w:tcPr>
            <w:tcW w:w="1531" w:type="dxa"/>
          </w:tcPr>
          <w:p w:rsidR="00AE265E" w:rsidRDefault="00AE265E">
            <w:pPr>
              <w:pStyle w:val="TableParagraph"/>
              <w:spacing w:before="0"/>
              <w:ind w:left="0"/>
              <w:rPr>
                <w:rFonts w:ascii="宋体"/>
                <w:sz w:val="20"/>
              </w:rPr>
            </w:pPr>
          </w:p>
          <w:p w:rsidR="00AE265E" w:rsidRDefault="00322ACD">
            <w:pPr>
              <w:pStyle w:val="TableParagraph"/>
              <w:spacing w:before="139"/>
              <w:ind w:right="106"/>
              <w:jc w:val="center"/>
              <w:rPr>
                <w:sz w:val="18"/>
              </w:rPr>
            </w:pPr>
            <w:r>
              <w:rPr>
                <w:color w:val="231F20"/>
                <w:sz w:val="18"/>
              </w:rPr>
              <w:t>税款</w:t>
            </w:r>
          </w:p>
        </w:tc>
        <w:tc>
          <w:tcPr>
            <w:tcW w:w="8972" w:type="dxa"/>
          </w:tcPr>
          <w:p w:rsidR="00AE265E" w:rsidRDefault="00322ACD">
            <w:pPr>
              <w:pStyle w:val="TableParagraph"/>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rsidR="00AE265E">
        <w:trPr>
          <w:trHeight w:val="486"/>
        </w:trPr>
        <w:tc>
          <w:tcPr>
            <w:tcW w:w="1531" w:type="dxa"/>
          </w:tcPr>
          <w:p w:rsidR="00AE265E" w:rsidRDefault="00322ACD">
            <w:pPr>
              <w:pStyle w:val="TableParagraph"/>
              <w:spacing w:before="126"/>
              <w:ind w:right="106"/>
              <w:jc w:val="center"/>
              <w:rPr>
                <w:sz w:val="18"/>
              </w:rPr>
            </w:pPr>
            <w:r>
              <w:rPr>
                <w:color w:val="231F20"/>
                <w:sz w:val="18"/>
              </w:rPr>
              <w:t>其他规定</w:t>
            </w:r>
          </w:p>
        </w:tc>
        <w:tc>
          <w:tcPr>
            <w:tcW w:w="8972" w:type="dxa"/>
          </w:tcPr>
          <w:p w:rsidR="00AE265E" w:rsidRDefault="00322ACD">
            <w:pPr>
              <w:pStyle w:val="TableParagraph"/>
              <w:spacing w:before="25" w:line="227" w:lineRule="exact"/>
              <w:ind w:left="56"/>
              <w:rPr>
                <w:sz w:val="18"/>
              </w:rPr>
            </w:pPr>
            <w:r>
              <w:rPr>
                <w:color w:val="231F20"/>
                <w:sz w:val="18"/>
              </w:rPr>
              <w:t>本理财产品认购</w:t>
            </w:r>
            <w:r>
              <w:rPr>
                <w:rFonts w:eastAsia="宋体" w:hint="eastAsia"/>
                <w:color w:val="231F20"/>
                <w:sz w:val="18"/>
              </w:rPr>
              <w:t>成功</w:t>
            </w:r>
            <w:r>
              <w:rPr>
                <w:color w:val="231F20"/>
                <w:sz w:val="18"/>
              </w:rPr>
              <w:t>后不得撤单。</w:t>
            </w:r>
          </w:p>
          <w:p w:rsidR="00AE265E" w:rsidRDefault="00322ACD">
            <w:pPr>
              <w:pStyle w:val="TableParagraph"/>
              <w:spacing w:before="0" w:line="214" w:lineRule="exact"/>
              <w:ind w:left="56"/>
              <w:rPr>
                <w:sz w:val="18"/>
              </w:rPr>
            </w:pPr>
            <w:r>
              <w:rPr>
                <w:color w:val="231F20"/>
                <w:sz w:val="18"/>
              </w:rPr>
              <w:t>本理财可以通过</w:t>
            </w:r>
            <w:r>
              <w:rPr>
                <w:rFonts w:ascii="宋体" w:eastAsia="宋体" w:hAnsi="宋体" w:hint="eastAsia"/>
                <w:color w:val="231F20"/>
                <w:sz w:val="18"/>
              </w:rPr>
              <w:t>■</w:t>
            </w:r>
            <w:r>
              <w:rPr>
                <w:color w:val="231F20"/>
                <w:sz w:val="18"/>
              </w:rPr>
              <w:t>营业网点、</w:t>
            </w:r>
            <w:r>
              <w:rPr>
                <w:rFonts w:ascii="宋体" w:eastAsia="宋体" w:hAnsi="宋体" w:hint="eastAsia"/>
                <w:color w:val="231F20"/>
                <w:sz w:val="18"/>
              </w:rPr>
              <w:t>■</w:t>
            </w:r>
            <w:r>
              <w:rPr>
                <w:color w:val="231F20"/>
                <w:sz w:val="18"/>
              </w:rPr>
              <w:t>网上银行、</w:t>
            </w:r>
            <w:r>
              <w:rPr>
                <w:rFonts w:ascii="宋体" w:eastAsia="宋体" w:hAnsi="宋体" w:hint="eastAsia"/>
                <w:color w:val="231F20"/>
                <w:sz w:val="18"/>
              </w:rPr>
              <w:t>■</w:t>
            </w:r>
            <w:r>
              <w:rPr>
                <w:color w:val="231F20"/>
                <w:sz w:val="18"/>
              </w:rPr>
              <w:t>手机银行等渠道购买。</w:t>
            </w:r>
          </w:p>
        </w:tc>
      </w:tr>
      <w:tr w:rsidR="00AE265E">
        <w:trPr>
          <w:trHeight w:val="486"/>
        </w:trPr>
        <w:tc>
          <w:tcPr>
            <w:tcW w:w="1531" w:type="dxa"/>
          </w:tcPr>
          <w:p w:rsidR="00AE265E" w:rsidRDefault="00322ACD">
            <w:pPr>
              <w:pStyle w:val="TableParagraph"/>
              <w:spacing w:before="126"/>
              <w:ind w:right="106"/>
              <w:jc w:val="center"/>
              <w:rPr>
                <w:rFonts w:eastAsia="宋体"/>
                <w:color w:val="231F20"/>
                <w:sz w:val="18"/>
              </w:rPr>
            </w:pPr>
            <w:r>
              <w:rPr>
                <w:rFonts w:eastAsia="宋体" w:hint="eastAsia"/>
                <w:color w:val="231F20"/>
                <w:sz w:val="18"/>
              </w:rPr>
              <w:t>托管行</w:t>
            </w:r>
          </w:p>
        </w:tc>
        <w:tc>
          <w:tcPr>
            <w:tcW w:w="8972" w:type="dxa"/>
          </w:tcPr>
          <w:p w:rsidR="00AE265E" w:rsidRDefault="00AE265E">
            <w:pPr>
              <w:pStyle w:val="TableParagraph"/>
              <w:spacing w:before="0" w:line="214" w:lineRule="exact"/>
              <w:ind w:left="56"/>
              <w:rPr>
                <w:color w:val="231F20"/>
                <w:spacing w:val="-10"/>
                <w:sz w:val="18"/>
              </w:rPr>
            </w:pPr>
          </w:p>
          <w:p w:rsidR="00AE265E" w:rsidRDefault="00322ACD">
            <w:pPr>
              <w:pStyle w:val="TableParagraph"/>
              <w:spacing w:before="0" w:line="214" w:lineRule="exact"/>
              <w:rPr>
                <w:rFonts w:eastAsia="宋体"/>
                <w:color w:val="231F20"/>
                <w:sz w:val="18"/>
              </w:rPr>
            </w:pPr>
            <w:r>
              <w:rPr>
                <w:rFonts w:eastAsia="宋体" w:hint="eastAsia"/>
                <w:color w:val="231F20"/>
                <w:sz w:val="18"/>
              </w:rPr>
              <w:t>宁波银行股份有限公司</w:t>
            </w:r>
          </w:p>
        </w:tc>
      </w:tr>
    </w:tbl>
    <w:p w:rsidR="00AE265E" w:rsidRDefault="00322ACD">
      <w:pPr>
        <w:pStyle w:val="a3"/>
        <w:spacing w:before="73" w:line="247" w:lineRule="exact"/>
        <w:ind w:left="1040"/>
      </w:pPr>
      <w:r>
        <w:rPr>
          <w:noProof/>
          <w:lang w:val="en-US" w:bidi="ar-SA"/>
        </w:rPr>
        <w:drawing>
          <wp:anchor distT="0" distB="0" distL="0" distR="0" simplePos="0" relativeHeight="251646976" behindDoc="0" locked="0" layoutInCell="1" allowOverlap="1">
            <wp:simplePos x="0" y="0"/>
            <wp:positionH relativeFrom="page">
              <wp:posOffset>7478395</wp:posOffset>
            </wp:positionH>
            <wp:positionV relativeFrom="paragraph">
              <wp:posOffset>-91440</wp:posOffset>
            </wp:positionV>
            <wp:extent cx="81280" cy="394970"/>
            <wp:effectExtent l="0" t="0" r="0" b="0"/>
            <wp:wrapNone/>
            <wp:docPr id="4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15.png"/>
                    <pic:cNvPicPr>
                      <a:picLocks noChangeAspect="1"/>
                    </pic:cNvPicPr>
                  </pic:nvPicPr>
                  <pic:blipFill>
                    <a:blip r:embed="rId14" cstate="print"/>
                    <a:stretch>
                      <a:fillRect/>
                    </a:stretch>
                  </pic:blipFill>
                  <pic:spPr>
                    <a:xfrm>
                      <a:off x="0" y="0"/>
                      <a:ext cx="81591" cy="394670"/>
                    </a:xfrm>
                    <a:prstGeom prst="rect">
                      <a:avLst/>
                    </a:prstGeom>
                  </pic:spPr>
                </pic:pic>
              </a:graphicData>
            </a:graphic>
          </wp:anchor>
        </w:drawing>
      </w:r>
      <w:r>
        <w:rPr>
          <w:color w:val="231F20"/>
        </w:rPr>
        <w:t>二、投资范围</w:t>
      </w:r>
    </w:p>
    <w:p w:rsidR="00AE265E" w:rsidRDefault="00322ACD">
      <w:pPr>
        <w:pStyle w:val="a3"/>
        <w:spacing w:line="243" w:lineRule="exact"/>
        <w:ind w:left="1040"/>
      </w:pPr>
      <w:r>
        <w:rPr>
          <w:color w:val="231F20"/>
        </w:rPr>
        <w:t>1</w:t>
      </w:r>
      <w:r>
        <w:rPr>
          <w:color w:val="231F20"/>
        </w:rPr>
        <w:t>、投资范围</w:t>
      </w:r>
    </w:p>
    <w:p w:rsidR="00AE265E" w:rsidRDefault="00322ACD">
      <w:pPr>
        <w:pStyle w:val="1"/>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w:t>
      </w:r>
      <w:proofErr w:type="gramStart"/>
      <w:r>
        <w:rPr>
          <w:color w:val="231F20"/>
          <w:spacing w:val="-26"/>
          <w:sz w:val="18"/>
        </w:rPr>
        <w:t>券</w:t>
      </w:r>
      <w:proofErr w:type="gramEnd"/>
      <w:r>
        <w:rPr>
          <w:color w:val="231F20"/>
          <w:spacing w:val="-28"/>
          <w:sz w:val="18"/>
        </w:rPr>
        <w:t>（</w:t>
      </w:r>
      <w:proofErr w:type="gramStart"/>
      <w:r>
        <w:rPr>
          <w:color w:val="231F20"/>
          <w:spacing w:val="-4"/>
          <w:sz w:val="18"/>
        </w:rPr>
        <w:t>含超短期</w:t>
      </w:r>
      <w:proofErr w:type="gramEnd"/>
      <w:r>
        <w:rPr>
          <w:color w:val="231F20"/>
          <w:spacing w:val="-4"/>
          <w:sz w:val="18"/>
        </w:rPr>
        <w:t>融资</w:t>
      </w:r>
      <w:proofErr w:type="gramStart"/>
      <w:r>
        <w:rPr>
          <w:color w:val="231F20"/>
          <w:spacing w:val="-4"/>
          <w:sz w:val="18"/>
        </w:rPr>
        <w:t>券</w:t>
      </w:r>
      <w:proofErr w:type="gramEnd"/>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w:t>
      </w:r>
      <w:r>
        <w:rPr>
          <w:color w:val="231F20"/>
          <w:spacing w:val="-25"/>
          <w:sz w:val="18"/>
        </w:rPr>
        <w:t>PPN</w:t>
      </w:r>
      <w:r>
        <w:rPr>
          <w:color w:val="231F20"/>
          <w:spacing w:val="-25"/>
          <w:sz w:val="18"/>
        </w:rPr>
        <w:t>）</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w:t>
      </w:r>
      <w:r>
        <w:rPr>
          <w:color w:val="231F20"/>
          <w:spacing w:val="-30"/>
          <w:sz w:val="18"/>
        </w:rPr>
        <w:t>以上</w:t>
      </w:r>
      <w:r>
        <w:rPr>
          <w:color w:val="231F20"/>
          <w:spacing w:val="-28"/>
          <w:sz w:val="18"/>
        </w:rPr>
        <w:t>（</w:t>
      </w:r>
      <w:r>
        <w:rPr>
          <w:color w:val="231F20"/>
          <w:spacing w:val="22"/>
          <w:sz w:val="18"/>
        </w:rPr>
        <w:t>含</w:t>
      </w:r>
      <w:r>
        <w:rPr>
          <w:color w:val="231F20"/>
          <w:spacing w:val="-23"/>
          <w:sz w:val="18"/>
        </w:rPr>
        <w:t>AA</w:t>
      </w:r>
      <w:r>
        <w:rPr>
          <w:color w:val="231F20"/>
          <w:spacing w:val="-23"/>
          <w:sz w:val="18"/>
        </w:rPr>
        <w:t>）；</w:t>
      </w:r>
    </w:p>
    <w:p w:rsidR="00AE265E" w:rsidRDefault="00322ACD">
      <w:pPr>
        <w:pStyle w:val="1"/>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rsidR="00AE265E" w:rsidRDefault="00322ACD">
      <w:pPr>
        <w:pStyle w:val="1"/>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w:t>
      </w:r>
      <w:proofErr w:type="gramStart"/>
      <w:r>
        <w:rPr>
          <w:color w:val="231F20"/>
          <w:spacing w:val="-22"/>
          <w:sz w:val="18"/>
        </w:rPr>
        <w:t>类资管计划</w:t>
      </w:r>
      <w:proofErr w:type="gramEnd"/>
      <w:r>
        <w:rPr>
          <w:color w:val="231F20"/>
          <w:spacing w:val="-22"/>
          <w:sz w:val="18"/>
        </w:rPr>
        <w:t>和其他资产。</w:t>
      </w:r>
    </w:p>
    <w:p w:rsidR="00AE265E" w:rsidRDefault="00322ACD">
      <w:pPr>
        <w:pStyle w:val="a3"/>
        <w:spacing w:line="240" w:lineRule="exact"/>
        <w:ind w:left="1040"/>
      </w:pPr>
      <w:r>
        <w:rPr>
          <w:color w:val="231F20"/>
        </w:rPr>
        <w:t>2</w:t>
      </w:r>
      <w:r>
        <w:rPr>
          <w:color w:val="231F20"/>
        </w:rPr>
        <w:t>、投资比例</w:t>
      </w:r>
    </w:p>
    <w:p w:rsidR="00AE265E" w:rsidRDefault="00322ACD">
      <w:pPr>
        <w:pStyle w:val="a3"/>
        <w:spacing w:line="243" w:lineRule="exact"/>
        <w:ind w:left="1040"/>
      </w:pPr>
      <w:r>
        <w:rPr>
          <w:color w:val="231F20"/>
          <w:spacing w:val="-9"/>
        </w:rPr>
        <w:t>投资比例：固定收益和货币市场类资产投资比例</w:t>
      </w:r>
      <w:r>
        <w:rPr>
          <w:rFonts w:eastAsia="宋体" w:hint="eastAsia"/>
          <w:color w:val="231F20"/>
          <w:spacing w:val="-9"/>
          <w:lang w:val="en-US"/>
        </w:rPr>
        <w:t>80</w:t>
      </w:r>
      <w:r>
        <w:rPr>
          <w:color w:val="231F20"/>
          <w:spacing w:val="-1"/>
          <w:w w:val="126"/>
        </w:rPr>
        <w:t>%-</w:t>
      </w:r>
      <w:r>
        <w:rPr>
          <w:rFonts w:eastAsia="宋体" w:hint="eastAsia"/>
          <w:color w:val="231F20"/>
          <w:spacing w:val="-1"/>
          <w:w w:val="126"/>
          <w:lang w:val="en-US"/>
        </w:rPr>
        <w:t>100</w:t>
      </w:r>
      <w:r>
        <w:rPr>
          <w:color w:val="231F20"/>
          <w:w w:val="91"/>
        </w:rPr>
        <w:t>%</w:t>
      </w:r>
      <w:r>
        <w:rPr>
          <w:color w:val="231F20"/>
          <w:spacing w:val="-10"/>
        </w:rPr>
        <w:t>，非标准化债券资产和其他类资产投资比例不超过</w:t>
      </w:r>
      <w:r>
        <w:rPr>
          <w:rFonts w:eastAsia="宋体" w:hint="eastAsia"/>
          <w:color w:val="231F20"/>
          <w:spacing w:val="-10"/>
          <w:lang w:val="en-US"/>
        </w:rPr>
        <w:t>20</w:t>
      </w:r>
      <w:r>
        <w:rPr>
          <w:color w:val="231F20"/>
          <w:w w:val="91"/>
        </w:rPr>
        <w:t>%</w:t>
      </w:r>
      <w:r>
        <w:rPr>
          <w:color w:val="231F20"/>
        </w:rPr>
        <w:t>。</w:t>
      </w:r>
    </w:p>
    <w:p w:rsidR="00AE265E" w:rsidRDefault="00322ACD">
      <w:pPr>
        <w:pStyle w:val="a3"/>
        <w:spacing w:before="1" w:line="232" w:lineRule="auto"/>
        <w:ind w:left="680" w:right="678" w:firstLine="360"/>
        <w:jc w:val="both"/>
      </w:pPr>
      <w:r>
        <w:rPr>
          <w:noProof/>
          <w:lang w:val="en-US" w:bidi="ar-SA"/>
        </w:rPr>
        <w:drawing>
          <wp:anchor distT="0" distB="0" distL="0" distR="0" simplePos="0" relativeHeight="251648000" behindDoc="0" locked="0" layoutInCell="1" allowOverlap="1">
            <wp:simplePos x="0" y="0"/>
            <wp:positionH relativeFrom="page">
              <wp:posOffset>7538085</wp:posOffset>
            </wp:positionH>
            <wp:positionV relativeFrom="paragraph">
              <wp:posOffset>448945</wp:posOffset>
            </wp:positionV>
            <wp:extent cx="19685" cy="49530"/>
            <wp:effectExtent l="0" t="0" r="0" b="0"/>
            <wp:wrapNone/>
            <wp:docPr id="5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7.png"/>
                    <pic:cNvPicPr>
                      <a:picLocks noChangeAspect="1"/>
                    </pic:cNvPicPr>
                  </pic:nvPicPr>
                  <pic:blipFill>
                    <a:blip r:embed="rId9" cstate="print"/>
                    <a:stretch>
                      <a:fillRect/>
                    </a:stretch>
                  </pic:blipFill>
                  <pic:spPr>
                    <a:xfrm>
                      <a:off x="0" y="0"/>
                      <a:ext cx="19459" cy="49325"/>
                    </a:xfrm>
                    <a:prstGeom prst="rect">
                      <a:avLst/>
                    </a:prstGeom>
                  </pic:spPr>
                </pic:pic>
              </a:graphicData>
            </a:graphic>
          </wp:anchor>
        </w:drawing>
      </w: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rsidR="00AE265E" w:rsidRDefault="00322ACD">
      <w:pPr>
        <w:pStyle w:val="a3"/>
        <w:spacing w:line="238" w:lineRule="exact"/>
        <w:ind w:left="1040"/>
      </w:pPr>
      <w:r>
        <w:rPr>
          <w:color w:val="231F20"/>
        </w:rPr>
        <w:t>三、理财产品费用及收益</w:t>
      </w:r>
    </w:p>
    <w:p w:rsidR="00AE265E" w:rsidRDefault="00322ACD">
      <w:pPr>
        <w:pStyle w:val="a3"/>
        <w:spacing w:line="243" w:lineRule="exact"/>
        <w:ind w:left="1040"/>
      </w:pPr>
      <w:r>
        <w:rPr>
          <w:color w:val="231F20"/>
        </w:rPr>
        <w:t>1</w:t>
      </w:r>
      <w:r>
        <w:rPr>
          <w:color w:val="231F20"/>
        </w:rPr>
        <w:t>、声明</w:t>
      </w:r>
    </w:p>
    <w:p w:rsidR="00AE265E" w:rsidRDefault="00322ACD">
      <w:pPr>
        <w:pStyle w:val="a3"/>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rsidR="00AE265E" w:rsidRDefault="00322ACD">
      <w:pPr>
        <w:pStyle w:val="a3"/>
        <w:spacing w:line="240" w:lineRule="exact"/>
        <w:ind w:left="1040"/>
      </w:pPr>
      <w:r>
        <w:rPr>
          <w:color w:val="231F20"/>
        </w:rPr>
        <w:t>2</w:t>
      </w:r>
      <w:r>
        <w:rPr>
          <w:color w:val="231F20"/>
        </w:rPr>
        <w:t>、特别说明</w:t>
      </w:r>
    </w:p>
    <w:p w:rsidR="00AE265E" w:rsidRDefault="00322ACD">
      <w:pPr>
        <w:pStyle w:val="a3"/>
        <w:spacing w:before="1" w:line="232" w:lineRule="auto"/>
        <w:ind w:left="1040" w:right="4668"/>
        <w:rPr>
          <w:rFonts w:eastAsiaTheme="minorEastAsia"/>
          <w:color w:val="231F20"/>
          <w:spacing w:val="-12"/>
        </w:rPr>
      </w:pPr>
      <w:r>
        <w:rPr>
          <w:color w:val="231F20"/>
          <w:spacing w:val="-10"/>
        </w:rPr>
        <w:t>在本期产</w:t>
      </w:r>
      <w:r>
        <w:rPr>
          <w:color w:val="231F20"/>
          <w:spacing w:val="-10"/>
        </w:rPr>
        <w:t>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rsidR="00AE265E" w:rsidRDefault="00322ACD">
      <w:pPr>
        <w:pStyle w:val="a3"/>
        <w:spacing w:before="1" w:line="232" w:lineRule="auto"/>
        <w:ind w:left="1040" w:right="4668"/>
      </w:pPr>
      <w:r>
        <w:rPr>
          <w:color w:val="231F20"/>
          <w:spacing w:val="-13"/>
          <w:w w:val="105"/>
        </w:rPr>
        <w:t>四、产品提前终止</w:t>
      </w:r>
    </w:p>
    <w:p w:rsidR="00AE265E" w:rsidRDefault="00322ACD">
      <w:pPr>
        <w:pStyle w:val="a3"/>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hyperlink r:id="rId15">
        <w:r>
          <w:rPr>
            <w:color w:val="231F20"/>
            <w:spacing w:val="-9"/>
          </w:rPr>
          <w:t>www.xjbank.com</w:t>
        </w:r>
      </w:hyperlink>
      <w:r>
        <w:rPr>
          <w:color w:val="231F20"/>
          <w:spacing w:val="-9"/>
        </w:rPr>
        <w:t>）</w:t>
      </w:r>
      <w:r>
        <w:rPr>
          <w:color w:val="231F20"/>
          <w:spacing w:val="-14"/>
        </w:rPr>
        <w:t>、新疆银行</w:t>
      </w:r>
      <w:proofErr w:type="gramStart"/>
      <w:r>
        <w:rPr>
          <w:color w:val="231F20"/>
          <w:spacing w:val="-14"/>
        </w:rPr>
        <w:t>官方微信或</w:t>
      </w:r>
      <w:proofErr w:type="gramEnd"/>
      <w:r>
        <w:rPr>
          <w:color w:val="231F20"/>
          <w:spacing w:val="-14"/>
        </w:rPr>
        <w:t>银行认为适当的其他方式、地点进行公示。</w:t>
      </w:r>
    </w:p>
    <w:p w:rsidR="00AE265E" w:rsidRDefault="00322ACD">
      <w:pPr>
        <w:pStyle w:val="a3"/>
        <w:spacing w:line="232" w:lineRule="auto"/>
        <w:ind w:left="680" w:right="678" w:firstLine="360"/>
        <w:jc w:val="both"/>
      </w:pPr>
      <w:r>
        <w:rPr>
          <w:color w:val="231F20"/>
        </w:rPr>
        <w:t>2</w:t>
      </w:r>
      <w:r>
        <w:rPr>
          <w:color w:val="231F20"/>
          <w:spacing w:val="-22"/>
        </w:rPr>
        <w:t>、在理财产品投资运作期间内，客户无权要求提前终止该理财产品；</w:t>
      </w:r>
      <w:proofErr w:type="gramStart"/>
      <w:r>
        <w:rPr>
          <w:color w:val="231F20"/>
          <w:spacing w:val="-22"/>
        </w:rPr>
        <w:t>当相关</w:t>
      </w:r>
      <w:proofErr w:type="gramEnd"/>
      <w:r>
        <w:rPr>
          <w:color w:val="231F20"/>
          <w:spacing w:val="-22"/>
        </w:rPr>
        <w:t>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hyperlink r:id="rId16">
        <w:r>
          <w:rPr>
            <w:color w:val="231F20"/>
            <w:spacing w:val="-8"/>
          </w:rPr>
          <w:t>www.xjbank.com</w:t>
        </w:r>
      </w:hyperlink>
      <w:r>
        <w:rPr>
          <w:color w:val="231F20"/>
          <w:spacing w:val="-8"/>
        </w:rPr>
        <w:t>）</w:t>
      </w:r>
      <w:r>
        <w:rPr>
          <w:color w:val="231F20"/>
          <w:spacing w:val="-11"/>
        </w:rPr>
        <w:t>、新疆银行</w:t>
      </w:r>
      <w:proofErr w:type="gramStart"/>
      <w:r>
        <w:rPr>
          <w:color w:val="231F20"/>
          <w:spacing w:val="-11"/>
        </w:rPr>
        <w:t>官方微信或</w:t>
      </w:r>
      <w:proofErr w:type="gramEnd"/>
      <w:r>
        <w:rPr>
          <w:color w:val="231F20"/>
          <w:spacing w:val="-11"/>
        </w:rPr>
        <w:t>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w:t>
      </w:r>
      <w:r>
        <w:rPr>
          <w:color w:val="231F20"/>
          <w:spacing w:val="-12"/>
        </w:rPr>
        <w:t>户理财账户，划付信息以新疆银行官方网站</w:t>
      </w:r>
      <w:r>
        <w:rPr>
          <w:color w:val="231F20"/>
          <w:spacing w:val="-8"/>
        </w:rPr>
        <w:t>（</w:t>
      </w:r>
      <w:hyperlink r:id="rId17">
        <w:r>
          <w:rPr>
            <w:color w:val="231F20"/>
            <w:spacing w:val="-8"/>
          </w:rPr>
          <w:t>www.xjbank.com</w:t>
        </w:r>
      </w:hyperlink>
      <w:r>
        <w:rPr>
          <w:color w:val="231F20"/>
          <w:spacing w:val="-8"/>
        </w:rPr>
        <w:t>）</w:t>
      </w:r>
      <w:r>
        <w:rPr>
          <w:color w:val="231F20"/>
          <w:spacing w:val="-30"/>
        </w:rPr>
        <w:t>、新疆</w:t>
      </w:r>
      <w:r>
        <w:rPr>
          <w:color w:val="231F20"/>
          <w:spacing w:val="-28"/>
        </w:rPr>
        <w:t>银行</w:t>
      </w:r>
      <w:proofErr w:type="gramStart"/>
      <w:r>
        <w:rPr>
          <w:color w:val="231F20"/>
          <w:spacing w:val="-28"/>
        </w:rPr>
        <w:t>官方微信或</w:t>
      </w:r>
      <w:proofErr w:type="gramEnd"/>
      <w:r>
        <w:rPr>
          <w:color w:val="231F20"/>
          <w:spacing w:val="-28"/>
        </w:rPr>
        <w:t>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rsidR="00AE265E" w:rsidRDefault="00322ACD" w:rsidP="00322ACD">
      <w:pPr>
        <w:pStyle w:val="a3"/>
        <w:tabs>
          <w:tab w:val="left" w:pos="4130"/>
        </w:tabs>
        <w:spacing w:line="236" w:lineRule="exact"/>
        <w:ind w:left="1040"/>
      </w:pPr>
      <w:r>
        <w:rPr>
          <w:color w:val="231F20"/>
        </w:rPr>
        <w:t>五、信息披露</w:t>
      </w:r>
      <w:r>
        <w:rPr>
          <w:color w:val="231F20"/>
        </w:rPr>
        <w:tab/>
      </w:r>
    </w:p>
    <w:p w:rsidR="00AE265E" w:rsidRDefault="00322ACD">
      <w:pPr>
        <w:pStyle w:val="a3"/>
        <w:spacing w:line="232" w:lineRule="auto"/>
        <w:ind w:left="680" w:right="588" w:firstLine="360"/>
      </w:pPr>
      <w:r>
        <w:rPr>
          <w:noProof/>
          <w:lang w:val="en-US" w:bidi="ar-SA"/>
        </w:rPr>
        <w:drawing>
          <wp:anchor distT="0" distB="0" distL="0" distR="0" simplePos="0" relativeHeight="251649024" behindDoc="0" locked="0" layoutInCell="1" allowOverlap="1">
            <wp:simplePos x="0" y="0"/>
            <wp:positionH relativeFrom="page">
              <wp:posOffset>7448550</wp:posOffset>
            </wp:positionH>
            <wp:positionV relativeFrom="paragraph">
              <wp:posOffset>304165</wp:posOffset>
            </wp:positionV>
            <wp:extent cx="106045" cy="305435"/>
            <wp:effectExtent l="0" t="0" r="0" b="0"/>
            <wp:wrapNone/>
            <wp:docPr id="6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5.png"/>
                    <pic:cNvPicPr>
                      <a:picLocks noChangeAspect="1"/>
                    </pic:cNvPicPr>
                  </pic:nvPicPr>
                  <pic:blipFill>
                    <a:blip r:embed="rId8" cstate="print"/>
                    <a:stretch>
                      <a:fillRect/>
                    </a:stretch>
                  </pic:blipFill>
                  <pic:spPr>
                    <a:xfrm>
                      <a:off x="0" y="0"/>
                      <a:ext cx="106358" cy="305121"/>
                    </a:xfrm>
                    <a:prstGeom prst="rect">
                      <a:avLst/>
                    </a:prstGeom>
                  </pic:spPr>
                </pic:pic>
              </a:graphicData>
            </a:graphic>
          </wp:anchor>
        </w:drawing>
      </w:r>
      <w:r>
        <w:rPr>
          <w:color w:val="231F20"/>
          <w:spacing w:val="-2"/>
        </w:rPr>
        <w:t>1</w:t>
      </w:r>
      <w:r>
        <w:rPr>
          <w:color w:val="231F20"/>
          <w:spacing w:val="-14"/>
        </w:rPr>
        <w:t>、本理财产品的公开信息披露新疆银行将通过新疆银行官方网站</w:t>
      </w:r>
      <w:r>
        <w:rPr>
          <w:color w:val="231F20"/>
          <w:spacing w:val="-9"/>
        </w:rPr>
        <w:t>（</w:t>
      </w:r>
      <w:hyperlink r:id="rId18">
        <w:r>
          <w:rPr>
            <w:color w:val="231F20"/>
            <w:spacing w:val="-9"/>
          </w:rPr>
          <w:t>www.xjbank.com</w:t>
        </w:r>
      </w:hyperlink>
      <w:r>
        <w:rPr>
          <w:color w:val="231F20"/>
          <w:spacing w:val="-9"/>
        </w:rPr>
        <w:t>）</w:t>
      </w:r>
      <w:r>
        <w:rPr>
          <w:color w:val="231F20"/>
          <w:spacing w:val="-12"/>
        </w:rPr>
        <w:t>、新疆银行</w:t>
      </w:r>
      <w:proofErr w:type="gramStart"/>
      <w:r>
        <w:rPr>
          <w:color w:val="231F20"/>
          <w:spacing w:val="-12"/>
        </w:rPr>
        <w:t>官方微信或</w:t>
      </w:r>
      <w:proofErr w:type="gramEnd"/>
      <w:r>
        <w:rPr>
          <w:color w:val="231F20"/>
          <w:spacing w:val="-12"/>
        </w:rPr>
        <w:t>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rsidR="00AE265E" w:rsidRDefault="00322ACD">
      <w:pPr>
        <w:pStyle w:val="a3"/>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w:t>
      </w:r>
      <w:r>
        <w:rPr>
          <w:color w:val="231F20"/>
          <w:spacing w:val="-21"/>
        </w:rPr>
        <w:t>行将根据有关</w:t>
      </w:r>
      <w:r>
        <w:rPr>
          <w:color w:val="231F20"/>
          <w:spacing w:val="-3"/>
        </w:rPr>
        <w:t>规定通过新疆银行官方网站</w:t>
      </w:r>
      <w:r>
        <w:rPr>
          <w:color w:val="231F20"/>
          <w:spacing w:val="-8"/>
        </w:rPr>
        <w:t>（</w:t>
      </w:r>
      <w:hyperlink r:id="rId19">
        <w:r>
          <w:rPr>
            <w:color w:val="231F20"/>
            <w:spacing w:val="-8"/>
          </w:rPr>
          <w:t>www.xjbank.com</w:t>
        </w:r>
      </w:hyperlink>
      <w:r>
        <w:rPr>
          <w:color w:val="231F20"/>
          <w:spacing w:val="-8"/>
        </w:rPr>
        <w:t>）</w:t>
      </w:r>
      <w:r>
        <w:rPr>
          <w:color w:val="231F20"/>
          <w:spacing w:val="-14"/>
        </w:rPr>
        <w:t>、新疆银行</w:t>
      </w:r>
      <w:proofErr w:type="gramStart"/>
      <w:r>
        <w:rPr>
          <w:color w:val="231F20"/>
          <w:spacing w:val="-14"/>
        </w:rPr>
        <w:t>官方微信或</w:t>
      </w:r>
      <w:proofErr w:type="gramEnd"/>
      <w:r>
        <w:rPr>
          <w:color w:val="231F20"/>
          <w:spacing w:val="-14"/>
        </w:rPr>
        <w:t>银行认为适当的其他方式、地点进行披露；若客户不接受本行调整后的投资比例，可选择赎回本产品。</w:t>
      </w:r>
    </w:p>
    <w:p w:rsidR="00AE265E" w:rsidRDefault="00322ACD">
      <w:pPr>
        <w:pStyle w:val="a3"/>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hyperlink r:id="rId20">
        <w:r>
          <w:rPr>
            <w:color w:val="231F20"/>
            <w:spacing w:val="-8"/>
          </w:rPr>
          <w:t>www.xjbank.com</w:t>
        </w:r>
      </w:hyperlink>
      <w:r>
        <w:rPr>
          <w:color w:val="231F20"/>
          <w:spacing w:val="-8"/>
        </w:rPr>
        <w:t>）</w:t>
      </w:r>
      <w:r>
        <w:rPr>
          <w:color w:val="231F20"/>
          <w:spacing w:val="-14"/>
        </w:rPr>
        <w:t>、新疆银</w:t>
      </w:r>
      <w:r>
        <w:rPr>
          <w:color w:val="231F20"/>
          <w:spacing w:val="-14"/>
        </w:rPr>
        <w:t>行</w:t>
      </w:r>
      <w:proofErr w:type="gramStart"/>
      <w:r>
        <w:rPr>
          <w:color w:val="231F20"/>
          <w:spacing w:val="-14"/>
        </w:rPr>
        <w:t>官方微信或</w:t>
      </w:r>
      <w:proofErr w:type="gramEnd"/>
      <w:r>
        <w:rPr>
          <w:color w:val="231F20"/>
          <w:spacing w:val="-14"/>
        </w:rPr>
        <w:t>银行认为适当的其他方式、地点及时进行信息披露。该等披露，视为银行已向客户完全</w:t>
      </w:r>
      <w:r>
        <w:rPr>
          <w:color w:val="231F20"/>
          <w:spacing w:val="-18"/>
        </w:rPr>
        <w:t>履行信息披露义务。客户承诺将及时接收、浏览和阅读该等信息。</w:t>
      </w:r>
    </w:p>
    <w:p w:rsidR="00AE265E" w:rsidRDefault="00322ACD">
      <w:pPr>
        <w:pStyle w:val="a3"/>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hyperlink r:id="rId21">
        <w:r>
          <w:rPr>
            <w:color w:val="231F20"/>
            <w:spacing w:val="-8"/>
          </w:rPr>
          <w:t>www.xjbank.com</w:t>
        </w:r>
      </w:hyperlink>
      <w:r>
        <w:rPr>
          <w:color w:val="231F20"/>
          <w:spacing w:val="-8"/>
        </w:rPr>
        <w:t>）</w:t>
      </w:r>
      <w:r>
        <w:rPr>
          <w:color w:val="231F20"/>
          <w:spacing w:val="-11"/>
        </w:rPr>
        <w:t>、新疆银行</w:t>
      </w:r>
      <w:proofErr w:type="gramStart"/>
      <w:r>
        <w:rPr>
          <w:color w:val="231F20"/>
          <w:spacing w:val="-11"/>
        </w:rPr>
        <w:t>官方微信或</w:t>
      </w:r>
      <w:proofErr w:type="gramEnd"/>
      <w:r>
        <w:rPr>
          <w:color w:val="231F20"/>
          <w:spacing w:val="-11"/>
        </w:rPr>
        <w:t>银行认为适当的其他方式、地点向客户进行信息披露。</w:t>
      </w:r>
    </w:p>
    <w:p w:rsidR="00AE265E" w:rsidRDefault="00322ACD">
      <w:pPr>
        <w:pStyle w:val="a3"/>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w:t>
      </w:r>
      <w:proofErr w:type="gramStart"/>
      <w:r>
        <w:rPr>
          <w:color w:val="231F20"/>
          <w:spacing w:val="-6"/>
        </w:rPr>
        <w:t>个</w:t>
      </w:r>
      <w:proofErr w:type="gramEnd"/>
      <w:r>
        <w:rPr>
          <w:color w:val="231F20"/>
          <w:spacing w:val="-6"/>
        </w:rPr>
        <w:t>工作日通过新疆银行官方网站</w:t>
      </w:r>
      <w:r>
        <w:rPr>
          <w:color w:val="231F20"/>
          <w:spacing w:val="-8"/>
        </w:rPr>
        <w:t>（</w:t>
      </w:r>
      <w:hyperlink r:id="rId22">
        <w:r>
          <w:rPr>
            <w:color w:val="231F20"/>
            <w:spacing w:val="-8"/>
          </w:rPr>
          <w:t>www.xjbank.com</w:t>
        </w:r>
      </w:hyperlink>
      <w:r>
        <w:rPr>
          <w:color w:val="231F20"/>
          <w:spacing w:val="-8"/>
        </w:rPr>
        <w:t>）</w:t>
      </w:r>
      <w:r>
        <w:rPr>
          <w:color w:val="231F20"/>
          <w:spacing w:val="-14"/>
        </w:rPr>
        <w:t>、新疆银行</w:t>
      </w:r>
      <w:proofErr w:type="gramStart"/>
      <w:r>
        <w:rPr>
          <w:color w:val="231F20"/>
          <w:spacing w:val="-14"/>
        </w:rPr>
        <w:t>官方微信或</w:t>
      </w:r>
      <w:proofErr w:type="gramEnd"/>
      <w:r>
        <w:rPr>
          <w:color w:val="231F20"/>
          <w:spacing w:val="-14"/>
        </w:rPr>
        <w:t>银行认为适当的其他方式、地点进行信息披露。</w:t>
      </w:r>
    </w:p>
    <w:sectPr w:rsidR="00AE265E">
      <w:pgSz w:w="11910" w:h="16840"/>
      <w:pgMar w:top="0" w:right="0" w:bottom="560" w:left="0" w:header="0" w:footer="3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22ACD">
      <w:r>
        <w:separator/>
      </w:r>
    </w:p>
  </w:endnote>
  <w:endnote w:type="continuationSeparator" w:id="0">
    <w:p w:rsidR="00000000" w:rsidRDefault="0032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MingLiU">
    <w:altName w:val="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65E" w:rsidRDefault="00322ACD">
    <w:pPr>
      <w:pStyle w:val="a3"/>
      <w:spacing w:line="14" w:lineRule="auto"/>
      <w:rPr>
        <w:sz w:val="20"/>
      </w:rPr>
    </w:pPr>
    <w:r>
      <w:rPr>
        <w:noProof/>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 cstate="print"/>
                  <a:stretch>
                    <a:fillRect/>
                  </a:stretch>
                </pic:blipFill>
                <pic:spPr>
                  <a:xfrm>
                    <a:off x="0" y="0"/>
                    <a:ext cx="21894" cy="65775"/>
                  </a:xfrm>
                  <a:prstGeom prst="rect">
                    <a:avLst/>
                  </a:prstGeom>
                </pic:spPr>
              </pic:pic>
            </a:graphicData>
          </a:graphic>
        </wp:anchor>
      </w:drawing>
    </w:r>
    <w:r>
      <w:rPr>
        <w:noProof/>
      </w:rP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rsidR="00AE265E" w:rsidRDefault="00322ACD">
                          <w:pPr>
                            <w:pStyle w:val="a3"/>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93.9pt;margin-top:810.4pt;width:8.4pt;height:11.9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" filled="f" stroked="f">
              <v:textbox inset="0,0,0,0">
                <w:txbxContent>
                  <w:p w:rsidR="00AE265E" w:rsidRDefault="00322ACD">
                    <w:pPr>
                      <w:pStyle w:val="a3"/>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22ACD">
      <w:r>
        <w:separator/>
      </w:r>
    </w:p>
  </w:footnote>
  <w:footnote w:type="continuationSeparator" w:id="0">
    <w:p w:rsidR="00000000" w:rsidRDefault="00322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208E"/>
    <w:multiLevelType w:val="multilevel"/>
    <w:tmpl w:val="0053208E"/>
    <w:lvl w:ilvl="0">
      <w:start w:val="1"/>
      <w:numFmt w:val="decimal"/>
      <w:lvlText w:val="（%1）"/>
      <w:lvlJc w:val="left"/>
      <w:pPr>
        <w:ind w:left="680" w:hanging="394"/>
        <w:jc w:val="left"/>
      </w:pPr>
      <w:rPr>
        <w:rFonts w:ascii="PMingLiU" w:eastAsia="PMingLiU" w:hAnsi="PMingLiU" w:cs="PMingLiU" w:hint="default"/>
        <w:color w:val="231F20"/>
        <w:spacing w:val="-63"/>
        <w:w w:val="100"/>
        <w:sz w:val="16"/>
        <w:szCs w:val="16"/>
        <w:lang w:val="zh-CN" w:eastAsia="zh-CN" w:bidi="zh-CN"/>
      </w:rPr>
    </w:lvl>
    <w:lvl w:ilvl="1">
      <w:numFmt w:val="bullet"/>
      <w:lvlText w:val="•"/>
      <w:lvlJc w:val="left"/>
      <w:pPr>
        <w:ind w:left="1802" w:hanging="394"/>
      </w:pPr>
      <w:rPr>
        <w:rFonts w:hint="default"/>
        <w:lang w:val="zh-CN" w:eastAsia="zh-CN" w:bidi="zh-CN"/>
      </w:rPr>
    </w:lvl>
    <w:lvl w:ilvl="2">
      <w:numFmt w:val="bullet"/>
      <w:lvlText w:val="•"/>
      <w:lvlJc w:val="left"/>
      <w:pPr>
        <w:ind w:left="2925" w:hanging="394"/>
      </w:pPr>
      <w:rPr>
        <w:rFonts w:hint="default"/>
        <w:lang w:val="zh-CN" w:eastAsia="zh-CN" w:bidi="zh-CN"/>
      </w:rPr>
    </w:lvl>
    <w:lvl w:ilvl="3">
      <w:numFmt w:val="bullet"/>
      <w:lvlText w:val="•"/>
      <w:lvlJc w:val="left"/>
      <w:pPr>
        <w:ind w:left="4047" w:hanging="394"/>
      </w:pPr>
      <w:rPr>
        <w:rFonts w:hint="default"/>
        <w:lang w:val="zh-CN" w:eastAsia="zh-CN" w:bidi="zh-CN"/>
      </w:rPr>
    </w:lvl>
    <w:lvl w:ilvl="4">
      <w:numFmt w:val="bullet"/>
      <w:lvlText w:val="•"/>
      <w:lvlJc w:val="left"/>
      <w:pPr>
        <w:ind w:left="5170" w:hanging="394"/>
      </w:pPr>
      <w:rPr>
        <w:rFonts w:hint="default"/>
        <w:lang w:val="zh-CN" w:eastAsia="zh-CN" w:bidi="zh-CN"/>
      </w:rPr>
    </w:lvl>
    <w:lvl w:ilvl="5">
      <w:numFmt w:val="bullet"/>
      <w:lvlText w:val="•"/>
      <w:lvlJc w:val="left"/>
      <w:pPr>
        <w:ind w:left="6292" w:hanging="394"/>
      </w:pPr>
      <w:rPr>
        <w:rFonts w:hint="default"/>
        <w:lang w:val="zh-CN" w:eastAsia="zh-CN" w:bidi="zh-CN"/>
      </w:rPr>
    </w:lvl>
    <w:lvl w:ilvl="6">
      <w:numFmt w:val="bullet"/>
      <w:lvlText w:val="•"/>
      <w:lvlJc w:val="left"/>
      <w:pPr>
        <w:ind w:left="7415" w:hanging="394"/>
      </w:pPr>
      <w:rPr>
        <w:rFonts w:hint="default"/>
        <w:lang w:val="zh-CN" w:eastAsia="zh-CN" w:bidi="zh-CN"/>
      </w:rPr>
    </w:lvl>
    <w:lvl w:ilvl="7">
      <w:numFmt w:val="bullet"/>
      <w:lvlText w:val="•"/>
      <w:lvlJc w:val="left"/>
      <w:pPr>
        <w:ind w:left="8537" w:hanging="394"/>
      </w:pPr>
      <w:rPr>
        <w:rFonts w:hint="default"/>
        <w:lang w:val="zh-CN" w:eastAsia="zh-CN" w:bidi="zh-CN"/>
      </w:rPr>
    </w:lvl>
    <w:lvl w:ilvl="8">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22ACD"/>
    <w:rsid w:val="00333400"/>
    <w:rsid w:val="003E6BA1"/>
    <w:rsid w:val="004901B1"/>
    <w:rsid w:val="00570E81"/>
    <w:rsid w:val="006452E3"/>
    <w:rsid w:val="00681C58"/>
    <w:rsid w:val="006F338E"/>
    <w:rsid w:val="009077E9"/>
    <w:rsid w:val="00961448"/>
    <w:rsid w:val="009C3E9B"/>
    <w:rsid w:val="009E6F0F"/>
    <w:rsid w:val="009F3A3A"/>
    <w:rsid w:val="00AA3A12"/>
    <w:rsid w:val="00AE265E"/>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C4762F4"/>
    <w:rsid w:val="10E8677F"/>
    <w:rsid w:val="1164216E"/>
    <w:rsid w:val="11BB4CCC"/>
    <w:rsid w:val="13520601"/>
    <w:rsid w:val="138C4499"/>
    <w:rsid w:val="142C707E"/>
    <w:rsid w:val="199B0AF0"/>
    <w:rsid w:val="22744FD3"/>
    <w:rsid w:val="24C418A7"/>
    <w:rsid w:val="258339B3"/>
    <w:rsid w:val="25FD3B64"/>
    <w:rsid w:val="26EB7036"/>
    <w:rsid w:val="27BC5091"/>
    <w:rsid w:val="28EC5ECC"/>
    <w:rsid w:val="29334ACF"/>
    <w:rsid w:val="29534DF4"/>
    <w:rsid w:val="296B2AA5"/>
    <w:rsid w:val="316C7266"/>
    <w:rsid w:val="323672E0"/>
    <w:rsid w:val="3618222D"/>
    <w:rsid w:val="36CB4CF1"/>
    <w:rsid w:val="37905CF9"/>
    <w:rsid w:val="41967E72"/>
    <w:rsid w:val="41A6132D"/>
    <w:rsid w:val="42BA266A"/>
    <w:rsid w:val="44C82C0E"/>
    <w:rsid w:val="467A2C14"/>
    <w:rsid w:val="48135A36"/>
    <w:rsid w:val="49987DAD"/>
    <w:rsid w:val="49B25517"/>
    <w:rsid w:val="4A4205ED"/>
    <w:rsid w:val="4C190611"/>
    <w:rsid w:val="4CD60A0E"/>
    <w:rsid w:val="4CF81712"/>
    <w:rsid w:val="4D8D06C6"/>
    <w:rsid w:val="4E455651"/>
    <w:rsid w:val="4E6550C0"/>
    <w:rsid w:val="4F886FD3"/>
    <w:rsid w:val="4FC2321B"/>
    <w:rsid w:val="50931F68"/>
    <w:rsid w:val="512B1646"/>
    <w:rsid w:val="51CA3C2E"/>
    <w:rsid w:val="52B81837"/>
    <w:rsid w:val="54AC4A7F"/>
    <w:rsid w:val="557B60F2"/>
    <w:rsid w:val="576F1919"/>
    <w:rsid w:val="57847D07"/>
    <w:rsid w:val="58062916"/>
    <w:rsid w:val="58D85396"/>
    <w:rsid w:val="592A18ED"/>
    <w:rsid w:val="5A3E4947"/>
    <w:rsid w:val="5BD419BC"/>
    <w:rsid w:val="5BEE67A6"/>
    <w:rsid w:val="5CA05FAF"/>
    <w:rsid w:val="5E4E7F1D"/>
    <w:rsid w:val="63D849CE"/>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64839"/>
    <w:rsid w:val="753537D9"/>
    <w:rsid w:val="754E0E4F"/>
    <w:rsid w:val="75F7363C"/>
    <w:rsid w:val="760E4613"/>
    <w:rsid w:val="79441C1E"/>
    <w:rsid w:val="79DD32E5"/>
    <w:rsid w:val="7B1B3424"/>
    <w:rsid w:val="7E327B55"/>
    <w:rsid w:val="7FA703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5DA5E0C3-C0B8-4F71-91CF-CB6A0CF5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PMingLiU" w:eastAsia="PMingLiU" w:hAnsi="PMingLiU" w:cs="PMingLiU"/>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8"/>
      <w:szCs w:val="18"/>
    </w:rPr>
  </w:style>
  <w:style w:type="paragraph" w:styleId="a4">
    <w:name w:val="Balloon Text"/>
    <w:basedOn w:val="a"/>
    <w:link w:val="a5"/>
    <w:qFormat/>
    <w:rPr>
      <w:sz w:val="18"/>
      <w:szCs w:val="18"/>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styleId="aa">
    <w:name w:val="Strong"/>
    <w:basedOn w:val="a0"/>
    <w:qFormat/>
    <w:rPr>
      <w:rFonts w:cs="Times New Roman"/>
      <w:b/>
      <w:bCs/>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
    <w:name w:val="列出段落1"/>
    <w:basedOn w:val="a"/>
    <w:uiPriority w:val="1"/>
    <w:qFormat/>
    <w:pPr>
      <w:spacing w:before="1"/>
      <w:ind w:left="680" w:right="678" w:firstLine="297"/>
      <w:jc w:val="both"/>
    </w:pPr>
  </w:style>
  <w:style w:type="paragraph" w:customStyle="1" w:styleId="TableParagraph">
    <w:name w:val="Table Paragraph"/>
    <w:basedOn w:val="a"/>
    <w:uiPriority w:val="1"/>
    <w:qFormat/>
    <w:pPr>
      <w:spacing w:before="48"/>
      <w:ind w:left="115"/>
    </w:pPr>
  </w:style>
  <w:style w:type="character" w:customStyle="1" w:styleId="a5">
    <w:name w:val="批注框文本 字符"/>
    <w:basedOn w:val="a0"/>
    <w:link w:val="a4"/>
    <w:qFormat/>
    <w:rPr>
      <w:rFonts w:ascii="PMingLiU" w:eastAsia="PMingLiU" w:hAnsi="PMingLiU" w:cs="PMingLiU"/>
      <w:sz w:val="18"/>
      <w:szCs w:val="18"/>
      <w:lang w:val="zh-CN" w:bidi="zh-CN"/>
    </w:rPr>
  </w:style>
  <w:style w:type="character" w:customStyle="1" w:styleId="a9">
    <w:name w:val="页眉 字符"/>
    <w:basedOn w:val="a0"/>
    <w:link w:val="a8"/>
    <w:qFormat/>
    <w:rPr>
      <w:rFonts w:ascii="PMingLiU" w:eastAsia="PMingLiU" w:hAnsi="PMingLiU" w:cs="PMingLiU"/>
      <w:sz w:val="18"/>
      <w:szCs w:val="18"/>
      <w:lang w:val="zh-CN" w:bidi="zh-CN"/>
    </w:rPr>
  </w:style>
  <w:style w:type="character" w:customStyle="1" w:styleId="a7">
    <w:name w:val="页脚 字符"/>
    <w:basedOn w:val="a0"/>
    <w:link w:val="a6"/>
    <w:qFormat/>
    <w:rPr>
      <w:rFonts w:ascii="PMingLiU" w:eastAsia="PMingLiU" w:hAnsi="PMingLiU" w:cs="PMingLiU"/>
      <w:sz w:val="18"/>
      <w:szCs w:val="18"/>
      <w:lang w:val="zh-CN" w:bidi="zh-CN"/>
    </w:rPr>
  </w:style>
  <w:style w:type="character" w:customStyle="1" w:styleId="fontstyle01">
    <w:name w:val="fontstyle01"/>
    <w:basedOn w:val="a0"/>
    <w:qFormat/>
    <w:rPr>
      <w:rFonts w:ascii="宋体" w:eastAsia="宋体" w:hAnsi="宋体" w:cs="宋体"/>
      <w:color w:val="000000"/>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xjbank.com/" TargetMode="External"/><Relationship Id="rId18" Type="http://schemas.openxmlformats.org/officeDocument/2006/relationships/hyperlink" Target="http://www.xjbank.com/" TargetMode="External"/><Relationship Id="rId3" Type="http://schemas.openxmlformats.org/officeDocument/2006/relationships/styles" Target="styles.xml"/><Relationship Id="rId21" Type="http://schemas.openxmlformats.org/officeDocument/2006/relationships/hyperlink" Target="http://www.xjbank.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xjbank.com/" TargetMode="External"/><Relationship Id="rId2" Type="http://schemas.openxmlformats.org/officeDocument/2006/relationships/numbering" Target="numbering.xml"/><Relationship Id="rId16" Type="http://schemas.openxmlformats.org/officeDocument/2006/relationships/hyperlink" Target="http://www.xjbank.com/" TargetMode="External"/><Relationship Id="rId20" Type="http://schemas.openxmlformats.org/officeDocument/2006/relationships/hyperlink" Target="http://www.xjban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jbank.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xjbank.com/"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www.xjban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http://www.xjbank.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800</Words>
  <Characters>4563</Characters>
  <Application>Microsoft Office Word</Application>
  <DocSecurity>0</DocSecurity>
  <Lines>38</Lines>
  <Paragraphs>10</Paragraphs>
  <ScaleCrop>false</ScaleCrop>
  <Company>Microsoft</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新疆银行 18年5月15日（第1稿）</dc:title>
  <dc:subject>无命题1</dc:subject>
  <dc:creator>Microsoft Administrator</dc:creator>
  <cp:lastModifiedBy>张 鹏</cp:lastModifiedBy>
  <cp:revision>5</cp:revision>
  <cp:lastPrinted>2019-11-06T03:12:00Z</cp:lastPrinted>
  <dcterms:created xsi:type="dcterms:W3CDTF">2018-11-30T03:33:00Z</dcterms:created>
  <dcterms:modified xsi:type="dcterms:W3CDTF">2020-02-03T05:53:00Z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2052-10.8.0.5838</vt:lpwstr>
  </property>
</Properties>
</file>