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  <w:lang w:eastAsia="zh-CN"/>
        </w:rPr>
      </w:pPr>
      <w:r>
        <w:rPr>
          <w:rFonts w:hint="eastAsia" w:ascii="方正仿宋简体" w:eastAsia="方正仿宋简体"/>
          <w:b/>
          <w:sz w:val="36"/>
          <w:szCs w:val="36"/>
          <w:lang w:eastAsia="zh-CN"/>
        </w:rPr>
        <w:t>新疆银行金胡杨同业理财202000</w:t>
      </w: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2</w:t>
      </w:r>
      <w:r>
        <w:rPr>
          <w:rFonts w:hint="eastAsia" w:ascii="方正仿宋简体" w:eastAsia="方正仿宋简体"/>
          <w:b/>
          <w:sz w:val="36"/>
          <w:szCs w:val="36"/>
          <w:lang w:eastAsia="zh-CN"/>
        </w:rPr>
        <w:t>期人民币同业理财产品成立公告</w:t>
      </w:r>
    </w:p>
    <w:p>
      <w:pPr>
        <w:tabs>
          <w:tab w:val="left" w:pos="7088"/>
          <w:tab w:val="left" w:pos="7513"/>
        </w:tabs>
        <w:ind w:right="-57" w:rightChars="-27"/>
        <w:jc w:val="center"/>
        <w:rPr>
          <w:rFonts w:hint="eastAsia" w:ascii="方正仿宋简体" w:eastAsia="方正仿宋简体"/>
          <w:b/>
          <w:sz w:val="36"/>
          <w:szCs w:val="36"/>
          <w:lang w:eastAsia="zh-CN"/>
        </w:rPr>
      </w:pPr>
    </w:p>
    <w:p>
      <w:pPr>
        <w:tabs>
          <w:tab w:val="left" w:pos="7088"/>
          <w:tab w:val="left" w:pos="7513"/>
        </w:tabs>
        <w:spacing w:line="400" w:lineRule="exact"/>
        <w:ind w:right="-57" w:rightChars="-27"/>
        <w:rPr>
          <w:sz w:val="24"/>
          <w:szCs w:val="24"/>
        </w:rPr>
      </w:pPr>
      <w:r>
        <w:rPr>
          <w:rFonts w:hint="eastAsia"/>
          <w:sz w:val="24"/>
          <w:szCs w:val="24"/>
        </w:rPr>
        <w:t>尊敬的客户：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我行发行金胡杨同业理财202000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期人民币同业理财产品</w:t>
      </w:r>
      <w:r>
        <w:rPr>
          <w:rFonts w:hint="eastAsia"/>
          <w:sz w:val="24"/>
          <w:szCs w:val="24"/>
          <w:lang w:val="en-US" w:eastAsia="zh-CN"/>
        </w:rPr>
        <w:t>于2020年1月8日成立</w:t>
      </w:r>
      <w:r>
        <w:rPr>
          <w:rFonts w:hint="eastAsia"/>
          <w:sz w:val="24"/>
          <w:szCs w:val="24"/>
        </w:rPr>
        <w:t>，产品登记编码为C1364320A000003 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产品</w:t>
      </w:r>
      <w:r>
        <w:rPr>
          <w:rFonts w:hint="eastAsia"/>
          <w:sz w:val="24"/>
          <w:szCs w:val="24"/>
        </w:rPr>
        <w:t>共募集</w:t>
      </w:r>
      <w:r>
        <w:rPr>
          <w:rFonts w:hint="eastAsia"/>
          <w:sz w:val="24"/>
          <w:szCs w:val="24"/>
          <w:lang w:val="en-US" w:eastAsia="zh-CN"/>
        </w:rPr>
        <w:t>5000</w:t>
      </w:r>
      <w:r>
        <w:rPr>
          <w:rFonts w:hint="eastAsia"/>
          <w:sz w:val="24"/>
          <w:szCs w:val="24"/>
        </w:rPr>
        <w:t>万元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到期日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日，产品类型为非保本浮动收益型，参考年化收益率为</w:t>
      </w:r>
      <w:r>
        <w:rPr>
          <w:rFonts w:hint="eastAsia"/>
          <w:sz w:val="24"/>
          <w:szCs w:val="24"/>
          <w:lang w:val="en-US" w:eastAsia="zh-CN"/>
        </w:rPr>
        <w:t>3.6</w:t>
      </w:r>
      <w:bookmarkStart w:id="0" w:name="_GoBack"/>
      <w:bookmarkEnd w:id="0"/>
      <w:r>
        <w:rPr>
          <w:rFonts w:hint="eastAsia"/>
          <w:sz w:val="24"/>
          <w:szCs w:val="24"/>
        </w:rPr>
        <w:t>%。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产品投向：现金类资产、货币市场工具、货币市场基金和标准化固定收益类资产的比例为80%-100%；其他符合监管要求的资产0%-20%。</w:t>
      </w:r>
    </w:p>
    <w:p>
      <w:pPr>
        <w:tabs>
          <w:tab w:val="left" w:pos="7088"/>
          <w:tab w:val="left" w:pos="7513"/>
        </w:tabs>
        <w:ind w:right="-57" w:rightChars="-27"/>
        <w:rPr>
          <w:rFonts w:hint="eastAsia"/>
          <w:sz w:val="24"/>
          <w:szCs w:val="24"/>
          <w:lang w:eastAsia="zh-CN"/>
        </w:rPr>
      </w:pPr>
    </w:p>
    <w:p>
      <w:pPr>
        <w:tabs>
          <w:tab w:val="left" w:pos="7088"/>
          <w:tab w:val="left" w:pos="7513"/>
        </w:tabs>
        <w:ind w:right="-57" w:rightChars="-27" w:firstLine="480" w:firstLineChars="200"/>
        <w:rPr>
          <w:rFonts w:hint="eastAsia"/>
          <w:sz w:val="28"/>
          <w:szCs w:val="28"/>
        </w:rPr>
      </w:pPr>
      <w:r>
        <w:rPr>
          <w:rFonts w:hint="eastAsia"/>
          <w:sz w:val="24"/>
          <w:szCs w:val="24"/>
          <w:lang w:eastAsia="zh-CN"/>
        </w:rPr>
        <w:t>特此公告。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8"/>
          <w:szCs w:val="28"/>
        </w:rPr>
        <w:t xml:space="preserve">                      </w:t>
      </w:r>
    </w:p>
    <w:p>
      <w:pPr>
        <w:tabs>
          <w:tab w:val="left" w:pos="7088"/>
          <w:tab w:val="left" w:pos="7513"/>
        </w:tabs>
        <w:ind w:right="-57" w:rightChars="-27" w:firstLine="42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4"/>
          <w:szCs w:val="24"/>
        </w:rPr>
        <w:t>新疆银行股份有限公司</w:t>
      </w:r>
    </w:p>
    <w:p>
      <w:pPr>
        <w:tabs>
          <w:tab w:val="left" w:pos="7088"/>
          <w:tab w:val="left" w:pos="7513"/>
        </w:tabs>
        <w:spacing w:line="400" w:lineRule="exact"/>
        <w:ind w:right="-57" w:rightChars="-27" w:firstLine="42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</w:t>
      </w:r>
      <w:r>
        <w:rPr>
          <w:rFonts w:hint="eastAsia"/>
          <w:sz w:val="24"/>
          <w:szCs w:val="24"/>
          <w:lang w:val="en-US" w:eastAsia="zh-CN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日</w:t>
      </w:r>
    </w:p>
    <w:p>
      <w:pPr>
        <w:tabs>
          <w:tab w:val="left" w:pos="7088"/>
          <w:tab w:val="left" w:pos="7513"/>
        </w:tabs>
        <w:ind w:right="-57" w:rightChars="-27" w:firstLine="420"/>
        <w:jc w:val="right"/>
        <w:rPr>
          <w:rFonts w:hint="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F1F69"/>
    <w:rsid w:val="3AC02BDE"/>
    <w:rsid w:val="62714320"/>
    <w:rsid w:val="7ABF31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qFormat/>
    <w:uiPriority w:val="0"/>
    <w:rPr>
      <w:rFonts w:ascii="宋体" w:hAnsi="宋体" w:eastAsia="宋体" w:cs="宋体"/>
      <w:color w:val="000000"/>
      <w:sz w:val="42"/>
      <w:szCs w:val="4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ad100</dc:creator>
  <cp:lastModifiedBy>XJBANK</cp:lastModifiedBy>
  <dcterms:modified xsi:type="dcterms:W3CDTF">2020-01-08T05:25:34Z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