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adjustRightInd w:val="0"/>
        <w:snapToGrid w:val="0"/>
        <w:spacing w:beforeLines="50" w:line="360" w:lineRule="auto"/>
        <w:jc w:val="center"/>
        <w:rPr>
          <w:rStyle w:val="9"/>
          <w:rFonts w:hint="eastAsia" w:ascii="黑体" w:hAnsi="黑体" w:eastAsia="黑体" w:cs="宋体"/>
          <w:b w:val="0"/>
          <w:kern w:val="0"/>
          <w:sz w:val="28"/>
          <w:szCs w:val="28"/>
        </w:rPr>
      </w:pPr>
      <w:r>
        <w:rPr>
          <w:rStyle w:val="9"/>
          <w:rFonts w:hint="eastAsia" w:ascii="黑体" w:hAnsi="黑体" w:eastAsia="黑体" w:cs="宋体"/>
          <w:b w:val="0"/>
          <w:kern w:val="0"/>
          <w:sz w:val="28"/>
          <w:szCs w:val="28"/>
        </w:rPr>
        <w:t>新疆银行</w:t>
      </w:r>
      <w:r>
        <w:rPr>
          <w:rStyle w:val="9"/>
          <w:rFonts w:hint="eastAsia" w:ascii="黑体" w:hAnsi="黑体" w:eastAsia="黑体" w:cs="宋体"/>
          <w:b w:val="0"/>
          <w:kern w:val="0"/>
          <w:sz w:val="28"/>
          <w:szCs w:val="28"/>
          <w:lang w:eastAsia="zh-CN"/>
        </w:rPr>
        <w:t>“金胡杨”尊享</w:t>
      </w:r>
      <w:r>
        <w:rPr>
          <w:rStyle w:val="9"/>
          <w:rFonts w:hint="eastAsia" w:ascii="黑体" w:hAnsi="黑体" w:eastAsia="黑体" w:cs="宋体"/>
          <w:b w:val="0"/>
          <w:kern w:val="0"/>
          <w:sz w:val="28"/>
          <w:szCs w:val="28"/>
        </w:rPr>
        <w:t>净值型人民币理财产品协议书</w:t>
      </w:r>
    </w:p>
    <w:p>
      <w:pPr>
        <w:widowControl/>
        <w:spacing w:line="400" w:lineRule="exact"/>
        <w:jc w:val="center"/>
        <w:rPr>
          <w:rStyle w:val="9"/>
          <w:rFonts w:hint="eastAsia" w:ascii="黑体" w:hAnsi="黑体" w:eastAsia="黑体" w:cs="宋体"/>
          <w:b w:val="0"/>
          <w:kern w:val="0"/>
          <w:sz w:val="28"/>
          <w:szCs w:val="28"/>
        </w:rPr>
      </w:pPr>
      <w:r>
        <w:rPr>
          <w:rStyle w:val="9"/>
          <w:rFonts w:hint="eastAsia" w:ascii="宋体" w:hAnsi="宋体" w:cs="宋体"/>
          <w:kern w:val="0"/>
          <w:sz w:val="18"/>
          <w:szCs w:val="18"/>
        </w:rPr>
        <w:t>理财产品过往业绩不代表其未来表现，不等于理财产品实际收益</w:t>
      </w:r>
    </w:p>
    <w:p>
      <w:pPr>
        <w:widowControl/>
        <w:spacing w:line="400" w:lineRule="exact"/>
        <w:jc w:val="center"/>
        <w:rPr>
          <w:rStyle w:val="9"/>
          <w:rFonts w:ascii="宋体" w:hAnsi="宋体" w:cs="宋体"/>
          <w:kern w:val="0"/>
          <w:sz w:val="18"/>
          <w:szCs w:val="18"/>
        </w:rPr>
      </w:pPr>
      <w:r>
        <w:rPr>
          <w:rStyle w:val="9"/>
          <w:rFonts w:hint="eastAsia" w:ascii="宋体" w:hAnsi="宋体" w:cs="宋体"/>
          <w:kern w:val="0"/>
          <w:sz w:val="18"/>
          <w:szCs w:val="18"/>
        </w:rPr>
        <w:t>理财非存款、产品有风险、投资须谨慎</w:t>
      </w:r>
    </w:p>
    <w:p>
      <w:pPr>
        <w:widowControl/>
        <w:adjustRightInd w:val="0"/>
        <w:snapToGrid w:val="0"/>
        <w:spacing w:beforeLines="50" w:line="360" w:lineRule="auto"/>
        <w:ind w:firstLine="570"/>
        <w:jc w:val="left"/>
        <w:rPr>
          <w:rStyle w:val="9"/>
          <w:rFonts w:cs="宋体" w:asciiTheme="minorEastAsia" w:hAnsiTheme="minorEastAsia" w:eastAsiaTheme="minorEastAsia"/>
          <w:b w:val="0"/>
          <w:kern w:val="0"/>
          <w:szCs w:val="21"/>
        </w:rPr>
      </w:pPr>
      <w:r>
        <w:rPr>
          <w:rStyle w:val="9"/>
          <w:rFonts w:hint="eastAsia" w:cs="宋体" w:asciiTheme="minorEastAsia" w:hAnsiTheme="minorEastAsia" w:eastAsiaTheme="minorEastAsia"/>
          <w:b w:val="0"/>
          <w:kern w:val="0"/>
          <w:szCs w:val="21"/>
        </w:rPr>
        <w:t>甲方（投资者）自愿购买乙方（银行）发行的理财产品，经双方协商一致，签订本协议。本协议为规范甲乙双方在理财业务中权利和义务的法律文件。</w:t>
      </w:r>
    </w:p>
    <w:tbl>
      <w:tblPr>
        <w:tblStyle w:val="6"/>
        <w:tblW w:w="9962" w:type="dxa"/>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245"/>
        <w:gridCol w:w="875"/>
        <w:gridCol w:w="371"/>
        <w:gridCol w:w="1245"/>
        <w:gridCol w:w="200"/>
        <w:gridCol w:w="854"/>
        <w:gridCol w:w="219"/>
        <w:gridCol w:w="486"/>
        <w:gridCol w:w="713"/>
        <w:gridCol w:w="46"/>
        <w:gridCol w:w="1367"/>
        <w:gridCol w:w="18"/>
        <w:gridCol w:w="1106"/>
        <w:gridCol w:w="121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一、基本信息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tcBorders>
              <w:bottom w:val="single" w:color="000000" w:sz="4" w:space="0"/>
            </w:tcBorders>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甲方基本信息（投资者基本信息）</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9962" w:type="dxa"/>
            <w:gridSpan w:val="14"/>
            <w:tcBorders>
              <w:top w:val="single" w:color="000000" w:sz="4" w:space="0"/>
              <w:left w:val="single" w:color="000000" w:sz="4" w:space="0"/>
              <w:right w:val="single" w:color="000000" w:sz="4" w:space="0"/>
            </w:tcBorders>
            <w:shd w:val="clear" w:color="auto" w:fill="3399FF"/>
          </w:tcPr>
          <w:p>
            <w:pPr>
              <w:jc w:val="center"/>
              <w:rPr>
                <w:rFonts w:cs="宋体" w:asciiTheme="minorEastAsia" w:hAnsiTheme="minorEastAsia" w:eastAsiaTheme="minorEastAsia"/>
                <w:b/>
                <w:color w:val="000000"/>
                <w:kern w:val="0"/>
                <w:sz w:val="22"/>
              </w:rPr>
            </w:pPr>
            <w:r>
              <w:rPr>
                <w:rFonts w:hint="eastAsia" w:cs="宋体" w:asciiTheme="minorEastAsia" w:hAnsiTheme="minorEastAsia" w:eastAsiaTheme="minorEastAsia"/>
                <w:b/>
                <w:color w:val="000000"/>
                <w:kern w:val="0"/>
                <w:sz w:val="22"/>
              </w:rPr>
              <w:t>个人投资者填写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姓名</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性别</w:t>
            </w:r>
          </w:p>
        </w:tc>
        <w:tc>
          <w:tcPr>
            <w:tcW w:w="1273"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gridSpan w:val="3"/>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国籍</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106"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职业</w:t>
            </w:r>
          </w:p>
        </w:tc>
        <w:tc>
          <w:tcPr>
            <w:tcW w:w="1217"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1246"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518" w:type="dxa"/>
            <w:gridSpan w:val="6"/>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家庭地址</w:t>
            </w:r>
          </w:p>
        </w:tc>
        <w:tc>
          <w:tcPr>
            <w:tcW w:w="5009" w:type="dxa"/>
            <w:gridSpan w:val="9"/>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385"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23" w:type="dxa"/>
            <w:gridSpan w:val="2"/>
            <w:tcBorders>
              <w:top w:val="single" w:color="000000" w:sz="4" w:space="0"/>
              <w:left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384" w:hRule="atLeast"/>
        </w:trPr>
        <w:tc>
          <w:tcPr>
            <w:tcW w:w="1245" w:type="dxa"/>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单位地址</w:t>
            </w:r>
          </w:p>
        </w:tc>
        <w:tc>
          <w:tcPr>
            <w:tcW w:w="5009" w:type="dxa"/>
            <w:gridSpan w:val="9"/>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c>
          <w:tcPr>
            <w:tcW w:w="1385"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手机号码</w:t>
            </w:r>
          </w:p>
        </w:tc>
        <w:tc>
          <w:tcPr>
            <w:tcW w:w="2323"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jc w:val="left"/>
              <w:rPr>
                <w:rFonts w:cs="宋体" w:asciiTheme="minorEastAsia" w:hAnsiTheme="minorEastAsia" w:eastAsiaTheme="minorEastAsia"/>
                <w:color w:val="000000"/>
                <w:kern w:val="0"/>
                <w:sz w:val="22"/>
              </w:rPr>
            </w:pP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9962" w:type="dxa"/>
            <w:gridSpan w:val="14"/>
            <w:tcBorders>
              <w:top w:val="single" w:color="000000" w:sz="4" w:space="0"/>
              <w:left w:val="single" w:color="000000" w:sz="4" w:space="0"/>
              <w:bottom w:val="single" w:color="000000" w:sz="4" w:space="0"/>
              <w:right w:val="single" w:color="000000" w:sz="4" w:space="0"/>
            </w:tcBorders>
            <w:shd w:val="clear" w:color="auto" w:fill="3399FF"/>
          </w:tcPr>
          <w:p>
            <w:pPr>
              <w:widowControl/>
              <w:jc w:val="center"/>
              <w:rPr>
                <w:rFonts w:cs="宋体" w:asciiTheme="minorEastAsia" w:hAnsiTheme="minorEastAsia" w:eastAsiaTheme="minorEastAsia"/>
                <w:b/>
                <w:color w:val="000000"/>
                <w:kern w:val="0"/>
                <w:sz w:val="22"/>
                <w:highlight w:val="cyan"/>
              </w:rPr>
            </w:pPr>
            <w:r>
              <w:rPr>
                <w:rFonts w:hint="eastAsia" w:cs="宋体" w:asciiTheme="minorEastAsia" w:hAnsiTheme="minorEastAsia" w:eastAsiaTheme="minorEastAsia"/>
                <w:b/>
                <w:color w:val="000000"/>
                <w:kern w:val="0"/>
                <w:sz w:val="22"/>
              </w:rPr>
              <w:t>单位投资者填写</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单位名称</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注册地址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通讯地址</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经办人姓名</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法定代表人姓名</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经办人证件种类</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法定代表人证件种类</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经办人证件号码</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法定代表人证件号码</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经办人证件有效期</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法定代表人证件有效期</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Ex>
        <w:trPr>
          <w:trHeight w:val="63" w:hRule="atLeast"/>
        </w:trPr>
        <w:tc>
          <w:tcPr>
            <w:tcW w:w="2120" w:type="dxa"/>
            <w:gridSpan w:val="2"/>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889" w:type="dxa"/>
            <w:gridSpan w:val="5"/>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2612" w:type="dxa"/>
            <w:gridSpan w:val="4"/>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2341" w:type="dxa"/>
            <w:gridSpan w:val="3"/>
            <w:tcBorders>
              <w:top w:val="single" w:color="000000" w:sz="4" w:space="0"/>
              <w:left w:val="single" w:color="000000" w:sz="4" w:space="0"/>
              <w:bottom w:val="single" w:color="000000" w:sz="4" w:space="0"/>
              <w:right w:val="single" w:color="000000" w:sz="4" w:space="0"/>
            </w:tcBorders>
            <w:shd w:val="clear" w:color="auto" w:fill="FFFFFF" w:themeFill="background1"/>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乙方基本信息（银行基本信息）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乙    方</w:t>
            </w:r>
          </w:p>
        </w:tc>
        <w:tc>
          <w:tcPr>
            <w:tcW w:w="8717" w:type="dxa"/>
            <w:gridSpan w:val="1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新疆银行股份有限公司</w:t>
            </w:r>
            <w:r>
              <w:rPr>
                <w:rFonts w:hint="eastAsia" w:cs="宋体" w:asciiTheme="minorEastAsia" w:hAnsiTheme="minorEastAsia" w:eastAsiaTheme="minorEastAsia"/>
                <w:color w:val="000000"/>
                <w:kern w:val="0"/>
                <w:sz w:val="22"/>
                <w:u w:val="single"/>
              </w:rPr>
              <w:t xml:space="preserve">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联系地址</w:t>
            </w:r>
          </w:p>
        </w:tc>
        <w:tc>
          <w:tcPr>
            <w:tcW w:w="3545"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邮政编码</w:t>
            </w:r>
          </w:p>
        </w:tc>
        <w:tc>
          <w:tcPr>
            <w:tcW w:w="3754" w:type="dxa"/>
            <w:gridSpan w:val="5"/>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联系电话</w:t>
            </w:r>
          </w:p>
        </w:tc>
        <w:tc>
          <w:tcPr>
            <w:tcW w:w="3545"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418"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3754" w:type="dxa"/>
            <w:gridSpan w:val="5"/>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9962" w:type="dxa"/>
            <w:gridSpan w:val="14"/>
            <w:shd w:val="clear" w:color="auto" w:fill="3399FF"/>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业务基本信息</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业    务</w:t>
            </w:r>
          </w:p>
        </w:tc>
        <w:tc>
          <w:tcPr>
            <w:tcW w:w="8717" w:type="dxa"/>
            <w:gridSpan w:val="13"/>
          </w:tcPr>
          <w:p>
            <w:pPr>
              <w:widowControl/>
              <w:jc w:val="center"/>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□购买        □赎回        □撤单</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产品名称</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产品代码</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270" w:hRule="atLeast"/>
        </w:trPr>
        <w:tc>
          <w:tcPr>
            <w:tcW w:w="1245" w:type="dxa"/>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交易币种</w:t>
            </w:r>
          </w:p>
        </w:tc>
        <w:tc>
          <w:tcPr>
            <w:tcW w:w="2691" w:type="dxa"/>
            <w:gridSpan w:val="4"/>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w:t>
            </w:r>
          </w:p>
        </w:tc>
        <w:tc>
          <w:tcPr>
            <w:tcW w:w="1559" w:type="dxa"/>
            <w:gridSpan w:val="3"/>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交易金额</w:t>
            </w:r>
          </w:p>
        </w:tc>
        <w:tc>
          <w:tcPr>
            <w:tcW w:w="4467" w:type="dxa"/>
            <w:gridSpan w:val="6"/>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                  </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1245" w:type="dxa"/>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卡/账号</w:t>
            </w:r>
          </w:p>
        </w:tc>
        <w:tc>
          <w:tcPr>
            <w:tcW w:w="2691" w:type="dxa"/>
            <w:gridSpan w:val="4"/>
            <w:tcBorders>
              <w:bottom w:val="single" w:color="000000" w:sz="4" w:space="0"/>
            </w:tcBorders>
          </w:tcPr>
          <w:p>
            <w:pPr>
              <w:widowControl/>
              <w:jc w:val="left"/>
              <w:rPr>
                <w:rFonts w:cs="宋体" w:asciiTheme="minorEastAsia" w:hAnsiTheme="minorEastAsia" w:eastAsiaTheme="minorEastAsia"/>
                <w:color w:val="000000"/>
                <w:kern w:val="0"/>
                <w:sz w:val="22"/>
              </w:rPr>
            </w:pPr>
          </w:p>
        </w:tc>
        <w:tc>
          <w:tcPr>
            <w:tcW w:w="1559" w:type="dxa"/>
            <w:gridSpan w:val="3"/>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交易份额</w:t>
            </w:r>
          </w:p>
        </w:tc>
        <w:tc>
          <w:tcPr>
            <w:tcW w:w="4467" w:type="dxa"/>
            <w:gridSpan w:val="6"/>
            <w:tcBorders>
              <w:bottom w:val="single" w:color="000000" w:sz="4" w:space="0"/>
            </w:tcBorders>
          </w:tcPr>
          <w:p>
            <w:pPr>
              <w:widowControl/>
              <w:jc w:val="left"/>
              <w:rPr>
                <w:rFonts w:cs="宋体" w:asciiTheme="minorEastAsia" w:hAnsiTheme="minorEastAsia" w:eastAsiaTheme="minorEastAsia"/>
                <w:color w:val="000000"/>
                <w:kern w:val="0"/>
                <w:sz w:val="22"/>
              </w:rPr>
            </w:pPr>
            <w:r>
              <w:rPr>
                <w:rFonts w:hint="eastAsia" w:cs="宋体" w:asciiTheme="minorEastAsia" w:hAnsiTheme="minorEastAsia" w:eastAsiaTheme="minorEastAsia"/>
                <w:color w:val="000000"/>
                <w:kern w:val="0"/>
                <w:sz w:val="22"/>
              </w:rPr>
              <w:t xml:space="preserve">         大写：</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 xml:space="preserve">    新疆银</w:t>
            </w:r>
            <w:r>
              <w:rPr>
                <w:rFonts w:hint="eastAsia" w:asciiTheme="minorEastAsia" w:hAnsiTheme="minorEastAsia" w:eastAsiaTheme="minorEastAsia"/>
                <w:szCs w:val="21"/>
                <w:lang w:eastAsia="zh-CN"/>
              </w:rPr>
              <w:t>“金胡杨”尊享</w:t>
            </w:r>
            <w:r>
              <w:rPr>
                <w:rFonts w:hint="eastAsia" w:asciiTheme="minorEastAsia" w:hAnsiTheme="minorEastAsia" w:eastAsiaTheme="minorEastAsia"/>
                <w:szCs w:val="21"/>
              </w:rPr>
              <w:t>净值型</w:t>
            </w:r>
            <w:r>
              <w:rPr>
                <w:rFonts w:hint="eastAsia" w:cs="宋体" w:asciiTheme="minorEastAsia" w:hAnsiTheme="minorEastAsia" w:eastAsiaTheme="minorEastAsia"/>
                <w:bCs/>
                <w:kern w:val="0"/>
                <w:szCs w:val="21"/>
              </w:rPr>
              <w:t>人民币理财产品理财合同由《风险揭示书》、《产品说明书》、《客户权益须知》、本协议书及客户签署的相关业务凭证共同组成。</w:t>
            </w:r>
          </w:p>
          <w:p>
            <w:pPr>
              <w:widowControl/>
              <w:tabs>
                <w:tab w:val="left" w:pos="8070"/>
                <w:tab w:val="right" w:pos="8306"/>
              </w:tabs>
              <w:adjustRightInd w:val="0"/>
              <w:snapToGrid w:val="0"/>
              <w:spacing w:line="360" w:lineRule="auto"/>
              <w:ind w:firstLine="420" w:firstLineChars="20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理财产品的具体风险和要素详见《风险揭示书》、《产品说明书》和《客户权益须知》等相关文件，上述文件为本协议不可分割的组成部分。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vAlign w:val="center"/>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二、甲方申明与保证</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（一）个人投资者申明与保证：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cs="宋体" w:asciiTheme="minorEastAsia" w:hAnsiTheme="minorEastAsia" w:eastAsiaTheme="minorEastAsia"/>
                <w:bCs/>
                <w:kern w:val="0"/>
                <w:szCs w:val="21"/>
              </w:rPr>
              <w:t>1.</w:t>
            </w:r>
            <w:r>
              <w:rPr>
                <w:rFonts w:hint="eastAsia" w:cs="宋体" w:asciiTheme="minorEastAsia" w:hAnsiTheme="minorEastAsia" w:eastAsiaTheme="minorEastAsia"/>
                <w:bCs/>
                <w:kern w:val="0"/>
                <w:szCs w:val="21"/>
              </w:rPr>
              <w:t>甲方具有完全民事行为能力，以本人合法所有的资金购买理财产品；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2.甲方为港、澳、台人士或外籍人士的，其购买理财产品的资质及资金符合相关法律法规及监管的要求；</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3.甲方已如实向乙方披露其风险承受能力状况及相关信息，并签署、确认《风险评估问卷》、《风险揭示书》；如发生可能影响其风险承受能力的情况，甲方应及时进行风险承受能力再评估；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5.乙方向甲方提供的产品分析及预测仅供参考，甲方据此做出的任何决策出于甲方自己的判断，投资决策风险由甲方自行承担。</w:t>
            </w:r>
          </w:p>
          <w:p>
            <w:pPr>
              <w:widowControl/>
              <w:tabs>
                <w:tab w:val="left" w:pos="0"/>
              </w:tabs>
              <w:adjustRightInd w:val="0"/>
              <w:snapToGrid w:val="0"/>
              <w:spacing w:line="360" w:lineRule="auto"/>
              <w:ind w:firstLine="360"/>
              <w:jc w:val="left"/>
              <w:rPr>
                <w:rFonts w:cs="宋体" w:asciiTheme="minorEastAsia" w:hAnsiTheme="minorEastAsia" w:eastAsiaTheme="minorEastAsia"/>
                <w:b/>
                <w:bCs/>
                <w:kern w:val="0"/>
                <w:szCs w:val="21"/>
              </w:rPr>
            </w:pPr>
            <w:r>
              <w:rPr>
                <w:rFonts w:hint="eastAsia" w:cs="宋体" w:asciiTheme="minorEastAsia" w:hAnsiTheme="minorEastAsia" w:eastAsiaTheme="minorEastAsia"/>
                <w:b/>
                <w:bCs/>
                <w:kern w:val="0"/>
                <w:szCs w:val="21"/>
              </w:rPr>
              <w:t>（二）机构投资者申明与保证</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1.甲方为依法设立的企业法人、事业法人、社会团体或其他组织，依据相应法律法规有投资理财产品的资格；</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2.签署和履行本协议系甲方的真实意思表示，已经按照其章程或其他内部管理文件的要求取得合法、有效的授权，且不会违反对甲方有约束力的任何协议、合同和其他法律文件；甲方已经或将会取得签订和履行本协议所需的一切有关批准、许可、备案或登记；</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3.甲方用于购买理财产品的资金为其合法所有并具有完全的占有、使用、收益、处分权，该资金可合法投资于理财产品而不存在任何禁止或限制的情形；</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4.甲方已如实、完整地向乙方披露其风险承受能力及相关信息；</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5.甲方授权代理人已得到签署理财产品合同的充分有效授权。甲方的法定代表人或授权代理人具有完全的民事行为能力并已详细阅读本协议、《风险揭示书》、《产品说明书》、《权益须知》等理财合同文本，清楚知晓、接受并承诺遵守理财产品合同，对其条款内容不存在任何疑问或异议，清楚了解所购买理财产品的收益类型、适用客户类别、主要风险、投资方向、流动性等内容，完全知晓理财产品可能出现的各种风险，愿意并能够承担这些风险；</w:t>
            </w:r>
          </w:p>
          <w:p>
            <w:pPr>
              <w:widowControl/>
              <w:tabs>
                <w:tab w:val="left" w:pos="0"/>
              </w:tabs>
              <w:adjustRightInd w:val="0"/>
              <w:snapToGrid w:val="0"/>
              <w:spacing w:line="360" w:lineRule="auto"/>
              <w:ind w:firstLine="360"/>
              <w:jc w:val="left"/>
              <w:rPr>
                <w:rFonts w:cs="宋体" w:asciiTheme="minorEastAsia" w:hAnsiTheme="minorEastAsia" w:eastAsiaTheme="minorEastAsia"/>
                <w:bCs/>
                <w:kern w:val="0"/>
                <w:szCs w:val="21"/>
              </w:rPr>
            </w:pPr>
            <w:r>
              <w:rPr>
                <w:rFonts w:hint="eastAsia" w:cs="宋体" w:asciiTheme="minorEastAsia" w:hAnsiTheme="minorEastAsia" w:eastAsiaTheme="minorEastAsia"/>
                <w:bCs/>
                <w:kern w:val="0"/>
                <w:szCs w:val="21"/>
              </w:rPr>
              <w:t>6.乙方向甲方提供的产品分析及预测仅供参考，甲方据此做出的任何决策出于甲方自己的判断，投资决策风险由甲方自行承担。</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
                <w:bCs/>
                <w:kern w:val="0"/>
                <w:szCs w:val="21"/>
              </w:rPr>
            </w:pPr>
            <w:r>
              <w:rPr>
                <w:rStyle w:val="9"/>
                <w:rFonts w:hint="eastAsia" w:cs="宋体" w:asciiTheme="minorEastAsia" w:hAnsiTheme="minorEastAsia" w:eastAsiaTheme="minorEastAsia"/>
                <w:kern w:val="0"/>
                <w:szCs w:val="21"/>
              </w:rPr>
              <w:t>三、风险提示</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1.乙方销售的理财产品与存款存在明显区别，投资理财产品可能面临政策风险、市场风险、信用风险、流动性风险等，具体详见《风险揭示书》。甲方在购买理财产品前，应仔细阅读并充分理解该理财产品的详细条款及可能发生的风险。</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2.非保本浮动收益净值型理财产品：不保证甲方理财资金本金和收益，甲方可能会蒙受不同程度的损失（包括不同程度本金损失），甲方应充分认识投资风险，谨慎投资。</w:t>
            </w:r>
          </w:p>
          <w:p>
            <w:pPr>
              <w:widowControl/>
              <w:tabs>
                <w:tab w:val="left" w:pos="8070"/>
                <w:tab w:val="right" w:pos="8306"/>
              </w:tabs>
              <w:adjustRightInd w:val="0"/>
              <w:snapToGrid w:val="0"/>
              <w:spacing w:line="360" w:lineRule="auto"/>
              <w:ind w:firstLine="405"/>
              <w:jc w:val="left"/>
              <w:rPr>
                <w:rFonts w:cs="宋体" w:asciiTheme="minorEastAsia" w:hAnsiTheme="minorEastAsia" w:eastAsiaTheme="minorEastAsia"/>
                <w:kern w:val="0"/>
                <w:szCs w:val="21"/>
              </w:rPr>
            </w:pPr>
            <w:r>
              <w:rPr>
                <w:rFonts w:hint="eastAsia" w:cs="宋体" w:asciiTheme="minorEastAsia" w:hAnsiTheme="minorEastAsia" w:eastAsiaTheme="minorEastAsia"/>
                <w:kern w:val="0"/>
                <w:szCs w:val="21"/>
              </w:rPr>
              <w:t>3.理财产品业绩表现将随市场波动，具有不确定性，业绩比较基准仅供甲方参考，不构成新疆银行对产品实际投资收益率的承诺或担保，客户的实际收益由产品净值决定。</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四、双方权利与义务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1.甲方有权依照理财产品合同约定获取理财收益，在约定的投资期内，理财资金本金不另计存款利息。</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2.甲方有权充分了解理财产品合同的条款以及可能发生的风险，充分了解理财产品的管理、运用、处分及收支情况，并有权要求乙方按照有关程序做出说明。</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3.甲方有义务保证理财资金的来源合法，购买理财产品的行为符合法律法规、监管规定及国家政策。</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4.甲方有义务保证所提供的信息、资料真实有效，如变更，应及时到乙方办理变更登记，因甲方未及时办理相关变更手续而造成的损失，乙方不承担责任。本协议履行过程中乙方需联系甲方时，乙方按照本协议中约定的联系或通知方式联系甲方，其中对其代理人的通知视为对甲方的通知。</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5.甲方有义务在其资金账户（下称“甲方资金账户”） 中预留足额的认/申购资金，并按照理财产品合同和乙方业务规则办理认/申购、赎回、转让理财产品，缴纳认/申购、赎回、转让相关费用。如因甲方资金账户冻结、挂失、换卡、销户、长期不动户、变更或其他甲方原因导致理财认/申购、赎回、转让等行为无效的，乙方不承担责任。</w:t>
            </w:r>
          </w:p>
          <w:p>
            <w:pPr>
              <w:widowControl/>
              <w:adjustRightInd w:val="0"/>
              <w:snapToGrid w:val="0"/>
              <w:spacing w:line="360" w:lineRule="auto"/>
              <w:jc w:val="left"/>
              <w:rPr>
                <w:rFonts w:asciiTheme="minorEastAsia" w:hAnsiTheme="minorEastAsia" w:eastAsiaTheme="minorEastAsia"/>
                <w:szCs w:val="21"/>
              </w:rPr>
            </w:pPr>
            <w:r>
              <w:rPr>
                <w:rFonts w:hint="eastAsia" w:asciiTheme="minorEastAsia" w:hAnsiTheme="minorEastAsia" w:eastAsiaTheme="minorEastAsia"/>
                <w:szCs w:val="21"/>
              </w:rPr>
              <w:t xml:space="preserve">    6.甲方有义务在理财产品到期日前，不提前支取本金、收益或要求乙方提前退还被扣划款项，且不得将甲方用于购买理财产品或返还本金、收益的资金账户销户。</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7.对于风险评级为R4（含）以上的理财产品的交易，甲方愿意选择以下任意一种方式进行，并按照乙方相关业务规则处理：（1）在乙方网点进行；（2）在乙方网点外的其他渠道(包括但不限于网上银行、 手机银行等渠道)</w:t>
            </w:r>
            <w:r>
              <w:rPr>
                <w:rFonts w:asciiTheme="minorEastAsia" w:hAnsiTheme="minorEastAsia" w:eastAsiaTheme="minorEastAsia"/>
                <w:szCs w:val="21"/>
              </w:rPr>
              <w:t xml:space="preserve"> </w:t>
            </w:r>
            <w:r>
              <w:rPr>
                <w:rFonts w:hint="eastAsia" w:asciiTheme="minorEastAsia" w:hAnsiTheme="minorEastAsia" w:eastAsiaTheme="minorEastAsia"/>
                <w:szCs w:val="21"/>
              </w:rPr>
              <w:t>进行。</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8.乙方有权确定理财产品的销售渠道（包括但不限于网点柜台、网上银行、手机银行）及其覆盖范围，并及时通知甲方。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9.乙方有权依据理财产品合同独立对理财资金进行投资管理，并可委托经相关监管机构批准或认可的其他金融机构对理财资金进行投资管理。</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10.乙方有权从甲方资金账户扣划本协议项下理财产品相应认/申购资金等理财款项； 除非双方另有书面约定，在甲方购买风险较高或单笔金额较大的理财产品情形下，乙方进行上述资金扣划时无须与甲方再进行电话等任何方式的最后确认，如甲方不同意购买该理财产品且《产品说明书》约定可以撤销购买，甲方应在乙方规定的交易截止时点前及时通知乙方。</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11.乙方有权依据理财产品合同决定理财资金本金和收益分配方案；乙方有权向甲方收取一定的理财产品管理费、销售费、托管费等相关费用，具体收费项目、条件、方式和标准详见《产品说明书》。</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 xml:space="preserve">12.认购期满，如募集资金未达到《产品说明书》所规定的规模下限，乙方有权终止该理财产品或相应延长认购期；如提前达到《产品说明书》所规定的募集金额上限，乙方有权提前结束认购并相应调整理财产品起息日和到期日。 </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13.乙方依约定将理财的本金及收益划入甲方资金账户，即视为向甲方完成支付义务。</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14.乙方有义务根据恪守信用、勤勉尽责的原则管理和运用理财产品财产，维护甲方利益。</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15.乙方有义务按照《产品说明书》的约定在相应渠道上披露理财产品相关信息。</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16.除另有约定外，乙方不负责代扣代缴甲方应缴纳的税款。</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17.甲、乙双方对本协议及其条款负有保密义务。除法律法规、监管规定另有要求外，未经一方书面认可，另一方不得向任何组织、个人提供或泄露与对方有关的资料和信息</w:t>
            </w:r>
            <w:r>
              <w:rPr>
                <w:rFonts w:asciiTheme="minorEastAsia" w:hAnsiTheme="minorEastAsia" w:eastAsiaTheme="minorEastAsia"/>
                <w:szCs w:val="21"/>
              </w:rPr>
              <w:t xml:space="preserve"> </w:t>
            </w:r>
            <w:r>
              <w:rPr>
                <w:rFonts w:hint="eastAsia" w:asciiTheme="minorEastAsia" w:hAnsiTheme="minorEastAsia" w:eastAsiaTheme="minorEastAsia"/>
                <w:szCs w:val="21"/>
              </w:rPr>
              <w:t>。</w:t>
            </w:r>
          </w:p>
          <w:p>
            <w:pPr>
              <w:spacing w:line="360" w:lineRule="exact"/>
              <w:ind w:firstLine="420" w:firstLineChars="200"/>
              <w:rPr>
                <w:rFonts w:asciiTheme="minorEastAsia" w:hAnsiTheme="minorEastAsia" w:eastAsiaTheme="minorEastAsia"/>
                <w:szCs w:val="21"/>
              </w:rPr>
            </w:pPr>
            <w:r>
              <w:rPr>
                <w:rFonts w:hint="eastAsia" w:asciiTheme="minorEastAsia" w:hAnsiTheme="minorEastAsia" w:eastAsiaTheme="minorEastAsia"/>
                <w:szCs w:val="21"/>
              </w:rPr>
              <w:t>甲方知晓并同意：乙方根据适用的法律法规、监管规定对投资者及持有的理财产品的相关信息进行登记，并传输给银行业理财登记托管中心。</w:t>
            </w:r>
          </w:p>
          <w:p>
            <w:pPr>
              <w:widowControl/>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18.法律法规、监管规定和理财产品合同规定的其他权利和义务。</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五、违约责任与争议处理</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1.一方不能履行或不能完全履行理财产品合同的，应承担违约责任。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因法律法规、监管规定、监管部门政策变化、自然灾害、意外事故、战争、系统故障、通讯故障等乙方不能控制或不可归责于乙方的因素，导致乙方无法履行本协议及其他理财产品合同的，乙方不承担责任，但乙方应在条件允许的情况下采取必要的补救措施，以减少损失。</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本协议及理财产品合同均适用中华人民共和国法律。本协议项下的任何争议，双方应通过友好协商解决；若协商不成，依法向乙方所在地人民法院提起诉讼。在争议解决期间，若该争议不影响本协议及理财产品合同其他条款的履行，则该其他条款应继续履行。</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六、协议的签署和生效</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tcBorders>
              <w:bottom w:val="single" w:color="000000" w:sz="4" w:space="0"/>
            </w:tcBorders>
          </w:tcPr>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1.甲方为个人投资者的，本协议经甲方签字，乙方盖章后生效；甲方为机构投资者的，本协议经甲方法定代表人或授权代理人签章并加盖法人公章，乙方盖章后生效；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2.</w:t>
            </w:r>
            <w:r>
              <w:rPr>
                <w:rStyle w:val="9"/>
                <w:rFonts w:hint="eastAsia" w:cs="宋体" w:asciiTheme="minorEastAsia" w:hAnsiTheme="minorEastAsia" w:eastAsiaTheme="minorEastAsia"/>
                <w:b w:val="0"/>
                <w:kern w:val="0"/>
                <w:szCs w:val="21"/>
              </w:rPr>
              <w:t xml:space="preserve"> 若甲方通过乙方电子渠道（包括但不限于网上银行、手机银行等）购买，则本协议经甲方确认并经乙方销售系统确认成交之日起生效。</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3.除《产品说明书》约定的提前终止情形外，甲方有违约行为或甲方资金账户被有权机关冻结、扣划时，乙方有权提前终止本合同，且乙方不承担任何责任。</w:t>
            </w:r>
          </w:p>
          <w:p>
            <w:pPr>
              <w:widowControl/>
              <w:tabs>
                <w:tab w:val="left" w:pos="0"/>
              </w:tabs>
              <w:adjustRightInd w:val="0"/>
              <w:snapToGrid w:val="0"/>
              <w:spacing w:line="360" w:lineRule="auto"/>
              <w:ind w:firstLine="420" w:firstLineChars="200"/>
              <w:jc w:val="left"/>
              <w:rPr>
                <w:rFonts w:asciiTheme="minorEastAsia" w:hAnsiTheme="minorEastAsia" w:eastAsiaTheme="minorEastAsia"/>
                <w:szCs w:val="21"/>
              </w:rPr>
            </w:pPr>
            <w:r>
              <w:rPr>
                <w:rFonts w:hint="eastAsia" w:asciiTheme="minorEastAsia" w:hAnsiTheme="minorEastAsia" w:eastAsiaTheme="minorEastAsia"/>
                <w:szCs w:val="21"/>
              </w:rPr>
              <w:t>4.本协议一式两份，具有同等法律效力，甲乙双方各执一份。</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c>
          <w:tcPr>
            <w:tcW w:w="9962" w:type="dxa"/>
            <w:gridSpan w:val="14"/>
            <w:shd w:val="clear" w:color="auto" w:fill="3399FF"/>
          </w:tcPr>
          <w:p>
            <w:pPr>
              <w:widowControl/>
              <w:tabs>
                <w:tab w:val="left" w:pos="8070"/>
                <w:tab w:val="right" w:pos="8306"/>
              </w:tabs>
              <w:adjustRightInd w:val="0"/>
              <w:snapToGrid w:val="0"/>
              <w:spacing w:line="360" w:lineRule="auto"/>
              <w:jc w:val="center"/>
              <w:rPr>
                <w:rFonts w:cs="宋体" w:asciiTheme="minorEastAsia" w:hAnsiTheme="minorEastAsia" w:eastAsiaTheme="minorEastAsia"/>
                <w:bCs/>
                <w:kern w:val="0"/>
                <w:szCs w:val="21"/>
              </w:rPr>
            </w:pPr>
            <w:r>
              <w:rPr>
                <w:rStyle w:val="9"/>
                <w:rFonts w:hint="eastAsia" w:cs="宋体" w:asciiTheme="minorEastAsia" w:hAnsiTheme="minorEastAsia" w:eastAsiaTheme="minorEastAsia"/>
                <w:kern w:val="0"/>
                <w:szCs w:val="21"/>
              </w:rPr>
              <w:t>协议签署</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Ex>
        <w:trPr>
          <w:trHeight w:val="6794" w:hRule="atLeast"/>
        </w:trPr>
        <w:tc>
          <w:tcPr>
            <w:tcW w:w="9962" w:type="dxa"/>
            <w:gridSpan w:val="14"/>
          </w:tcPr>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甲方声明：</w:t>
            </w:r>
            <w:bookmarkStart w:id="0" w:name="_GoBack"/>
            <w:bookmarkEnd w:id="0"/>
          </w:p>
          <w:p>
            <w:pPr>
              <w:widowControl/>
              <w:tabs>
                <w:tab w:val="left" w:pos="0"/>
              </w:tabs>
              <w:adjustRightInd w:val="0"/>
              <w:snapToGrid w:val="0"/>
              <w:spacing w:line="360" w:lineRule="auto"/>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一）甲方已经收到所购买理财产品相关的《风险揭示书》、《产品说明书》和《客户权益须知》，并已完全理解和接受上述文件及本协议的全部内容，清楚了解所购买理财产品的内容及风险。甲方的投资决策完全出于自身独立自主判断做出，并愿意承担所购买（或赎回、撤单）理财产品所产生的相关风险和全部后果。</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（二）甲方确认乙方相关业务人员对本协议中有关甲乙双方的权利义务，及甲乙双方单方面拥有的某些权利和限制性义务予以解释说明，甲方愿意接受上述条款约束，双方对本协议条款的理解已完全达成一致。</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u w:val="single"/>
              </w:rPr>
            </w:pPr>
            <w:r>
              <w:rPr>
                <w:rFonts w:hint="eastAsia" w:asciiTheme="minorEastAsia" w:hAnsiTheme="minorEastAsia" w:eastAsiaTheme="minorEastAsia"/>
                <w:b/>
                <w:szCs w:val="21"/>
              </w:rPr>
              <w:t>甲方：                                         乙方：新疆银行股份有限公司</w:t>
            </w:r>
            <w:r>
              <w:rPr>
                <w:rFonts w:hint="eastAsia" w:asciiTheme="minorEastAsia" w:hAnsiTheme="minorEastAsia" w:eastAsiaTheme="minorEastAsia"/>
                <w:b/>
                <w:szCs w:val="21"/>
                <w:u w:val="single"/>
              </w:rPr>
              <w:t xml:space="preserve">            </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法定代表人/授权代理人：                        理财经理：</w:t>
            </w: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p>
          <w:p>
            <w:pPr>
              <w:widowControl/>
              <w:tabs>
                <w:tab w:val="left" w:pos="0"/>
              </w:tabs>
              <w:adjustRightInd w:val="0"/>
              <w:snapToGrid w:val="0"/>
              <w:spacing w:line="360" w:lineRule="auto"/>
              <w:ind w:firstLine="413" w:firstLineChars="196"/>
              <w:jc w:val="left"/>
              <w:rPr>
                <w:rFonts w:asciiTheme="minorEastAsia" w:hAnsiTheme="minorEastAsia" w:eastAsiaTheme="minorEastAsia"/>
                <w:b/>
                <w:szCs w:val="21"/>
              </w:rPr>
            </w:pPr>
            <w:r>
              <w:rPr>
                <w:rFonts w:hint="eastAsia" w:asciiTheme="minorEastAsia" w:hAnsiTheme="minorEastAsia" w:eastAsiaTheme="minorEastAsia"/>
                <w:b/>
                <w:szCs w:val="21"/>
              </w:rPr>
              <w:t>日期：                                         理财经理证书编号：</w:t>
            </w:r>
          </w:p>
          <w:p>
            <w:pPr>
              <w:widowControl/>
              <w:tabs>
                <w:tab w:val="left" w:pos="0"/>
              </w:tabs>
              <w:adjustRightInd w:val="0"/>
              <w:snapToGrid w:val="0"/>
              <w:spacing w:line="360" w:lineRule="auto"/>
              <w:ind w:firstLine="5384" w:firstLineChars="2554"/>
              <w:jc w:val="left"/>
              <w:rPr>
                <w:rFonts w:asciiTheme="minorEastAsia" w:hAnsiTheme="minorEastAsia" w:eastAsiaTheme="minorEastAsia"/>
                <w:b/>
                <w:szCs w:val="21"/>
              </w:rPr>
            </w:pPr>
          </w:p>
          <w:p>
            <w:pPr>
              <w:widowControl/>
              <w:tabs>
                <w:tab w:val="left" w:pos="0"/>
              </w:tabs>
              <w:adjustRightInd w:val="0"/>
              <w:snapToGrid w:val="0"/>
              <w:spacing w:line="360" w:lineRule="auto"/>
              <w:ind w:firstLine="5285" w:firstLineChars="2507"/>
              <w:jc w:val="left"/>
              <w:rPr>
                <w:rFonts w:asciiTheme="minorEastAsia" w:hAnsiTheme="minorEastAsia" w:eastAsiaTheme="minorEastAsia"/>
                <w:b/>
                <w:szCs w:val="21"/>
              </w:rPr>
            </w:pPr>
            <w:r>
              <w:rPr>
                <w:rFonts w:hint="eastAsia" w:asciiTheme="minorEastAsia" w:hAnsiTheme="minorEastAsia" w:eastAsiaTheme="minorEastAsia"/>
                <w:b/>
                <w:szCs w:val="21"/>
              </w:rPr>
              <w:t xml:space="preserve"> 日期： </w:t>
            </w:r>
          </w:p>
          <w:p>
            <w:pPr>
              <w:widowControl/>
              <w:tabs>
                <w:tab w:val="left" w:pos="0"/>
              </w:tabs>
              <w:adjustRightInd w:val="0"/>
              <w:snapToGrid w:val="0"/>
              <w:spacing w:line="360" w:lineRule="auto"/>
              <w:jc w:val="left"/>
              <w:rPr>
                <w:rFonts w:asciiTheme="minorEastAsia" w:hAnsiTheme="minorEastAsia" w:eastAsiaTheme="minorEastAsia"/>
                <w:b/>
                <w:szCs w:val="21"/>
              </w:rPr>
            </w:pPr>
          </w:p>
        </w:tc>
      </w:tr>
    </w:tbl>
    <w:p>
      <w:pPr>
        <w:spacing w:line="360" w:lineRule="auto"/>
        <w:rPr>
          <w:rFonts w:cs="宋体" w:asciiTheme="minorEastAsia" w:hAnsiTheme="minorEastAsia" w:eastAsiaTheme="minorEastAsia"/>
          <w:bCs/>
          <w:kern w:val="0"/>
          <w:szCs w:val="21"/>
        </w:rPr>
      </w:pPr>
    </w:p>
    <w:sectPr>
      <w:head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left"/>
    </w:pPr>
    <w:r>
      <w:drawing>
        <wp:anchor distT="0" distB="0" distL="114300" distR="114300" simplePos="0" relativeHeight="251658240" behindDoc="0" locked="0" layoutInCell="1" allowOverlap="1">
          <wp:simplePos x="0" y="0"/>
          <wp:positionH relativeFrom="column">
            <wp:posOffset>19050</wp:posOffset>
          </wp:positionH>
          <wp:positionV relativeFrom="paragraph">
            <wp:posOffset>2540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p>
    <w:pPr>
      <w:pStyle w:val="4"/>
      <w:pBdr>
        <w:bottom w:val="none" w:color="auto" w:sz="0" w:space="0"/>
      </w:pBdr>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compat>
    <w:spaceForUL/>
    <w:balanceSingleByteDoubleByteWidth/>
    <w:doNotLeaveBackslashAlone/>
    <w:ulTrailSpace/>
    <w:doNotExpandShiftReturn/>
    <w:adjustLineHeightInTable/>
    <w:useFELayout/>
    <w:compatSetting w:name="compatibilityMode" w:uri="http://schemas.microsoft.com/office/word" w:val="12"/>
  </w:compat>
  <w:rsids>
    <w:rsidRoot w:val="005612E4"/>
    <w:rsid w:val="00001B27"/>
    <w:rsid w:val="00005909"/>
    <w:rsid w:val="0000676D"/>
    <w:rsid w:val="00027AA5"/>
    <w:rsid w:val="000331E4"/>
    <w:rsid w:val="00045869"/>
    <w:rsid w:val="000533F1"/>
    <w:rsid w:val="000576A0"/>
    <w:rsid w:val="00061366"/>
    <w:rsid w:val="000660F0"/>
    <w:rsid w:val="00067119"/>
    <w:rsid w:val="0006774E"/>
    <w:rsid w:val="000814B2"/>
    <w:rsid w:val="00094495"/>
    <w:rsid w:val="000C6731"/>
    <w:rsid w:val="000D0F1B"/>
    <w:rsid w:val="000F2C67"/>
    <w:rsid w:val="000F409C"/>
    <w:rsid w:val="001247FC"/>
    <w:rsid w:val="001348EF"/>
    <w:rsid w:val="0019089E"/>
    <w:rsid w:val="00197EC6"/>
    <w:rsid w:val="001B2259"/>
    <w:rsid w:val="001D0707"/>
    <w:rsid w:val="001F5AEA"/>
    <w:rsid w:val="00224CC2"/>
    <w:rsid w:val="00232FA8"/>
    <w:rsid w:val="002379BB"/>
    <w:rsid w:val="00242881"/>
    <w:rsid w:val="002641E5"/>
    <w:rsid w:val="00271EA0"/>
    <w:rsid w:val="00284E3E"/>
    <w:rsid w:val="002D27C5"/>
    <w:rsid w:val="002F560B"/>
    <w:rsid w:val="002F6EC4"/>
    <w:rsid w:val="00300253"/>
    <w:rsid w:val="0031502F"/>
    <w:rsid w:val="003317D7"/>
    <w:rsid w:val="0034756F"/>
    <w:rsid w:val="00362212"/>
    <w:rsid w:val="00364CEB"/>
    <w:rsid w:val="00381D34"/>
    <w:rsid w:val="003919EE"/>
    <w:rsid w:val="00394A1C"/>
    <w:rsid w:val="003A1F39"/>
    <w:rsid w:val="003B7D68"/>
    <w:rsid w:val="003D328B"/>
    <w:rsid w:val="003E05C9"/>
    <w:rsid w:val="003F1B6C"/>
    <w:rsid w:val="00440BFD"/>
    <w:rsid w:val="00443CBF"/>
    <w:rsid w:val="004478A4"/>
    <w:rsid w:val="00452D33"/>
    <w:rsid w:val="0046288B"/>
    <w:rsid w:val="00474952"/>
    <w:rsid w:val="004776B0"/>
    <w:rsid w:val="00481581"/>
    <w:rsid w:val="004844A0"/>
    <w:rsid w:val="00484957"/>
    <w:rsid w:val="004B01E1"/>
    <w:rsid w:val="004B0863"/>
    <w:rsid w:val="004B718F"/>
    <w:rsid w:val="004C03E1"/>
    <w:rsid w:val="004F0EAF"/>
    <w:rsid w:val="004F24CD"/>
    <w:rsid w:val="004F3DB3"/>
    <w:rsid w:val="00500D9F"/>
    <w:rsid w:val="0050610C"/>
    <w:rsid w:val="0052201F"/>
    <w:rsid w:val="0052339C"/>
    <w:rsid w:val="005301C2"/>
    <w:rsid w:val="00531FEA"/>
    <w:rsid w:val="00546A6F"/>
    <w:rsid w:val="00553F11"/>
    <w:rsid w:val="005540D6"/>
    <w:rsid w:val="00554C33"/>
    <w:rsid w:val="005612E4"/>
    <w:rsid w:val="005652FB"/>
    <w:rsid w:val="005765BB"/>
    <w:rsid w:val="0058335C"/>
    <w:rsid w:val="005A1872"/>
    <w:rsid w:val="005A267B"/>
    <w:rsid w:val="005A26A0"/>
    <w:rsid w:val="005B0516"/>
    <w:rsid w:val="005C3195"/>
    <w:rsid w:val="005C75A9"/>
    <w:rsid w:val="005D1F93"/>
    <w:rsid w:val="00602E2A"/>
    <w:rsid w:val="00606E3D"/>
    <w:rsid w:val="00614168"/>
    <w:rsid w:val="00661C29"/>
    <w:rsid w:val="006628C7"/>
    <w:rsid w:val="0067292A"/>
    <w:rsid w:val="00680240"/>
    <w:rsid w:val="00681907"/>
    <w:rsid w:val="00684F5E"/>
    <w:rsid w:val="006853EF"/>
    <w:rsid w:val="006C1CD7"/>
    <w:rsid w:val="006C3F17"/>
    <w:rsid w:val="006C7243"/>
    <w:rsid w:val="006D3F93"/>
    <w:rsid w:val="006D5E9F"/>
    <w:rsid w:val="006D7F7C"/>
    <w:rsid w:val="006E5587"/>
    <w:rsid w:val="006F20FD"/>
    <w:rsid w:val="00727B13"/>
    <w:rsid w:val="007352AE"/>
    <w:rsid w:val="00753B8A"/>
    <w:rsid w:val="0076609B"/>
    <w:rsid w:val="007725D5"/>
    <w:rsid w:val="007B2350"/>
    <w:rsid w:val="007D0068"/>
    <w:rsid w:val="007E0EFF"/>
    <w:rsid w:val="007F3785"/>
    <w:rsid w:val="00810934"/>
    <w:rsid w:val="008359CF"/>
    <w:rsid w:val="00862CB7"/>
    <w:rsid w:val="00867592"/>
    <w:rsid w:val="008843E9"/>
    <w:rsid w:val="00884D6F"/>
    <w:rsid w:val="00895EF0"/>
    <w:rsid w:val="008963D9"/>
    <w:rsid w:val="008A4123"/>
    <w:rsid w:val="008B3926"/>
    <w:rsid w:val="008D6DD4"/>
    <w:rsid w:val="008E2FA7"/>
    <w:rsid w:val="00902EBC"/>
    <w:rsid w:val="00903A4B"/>
    <w:rsid w:val="009369EF"/>
    <w:rsid w:val="00951248"/>
    <w:rsid w:val="00960D08"/>
    <w:rsid w:val="009658A6"/>
    <w:rsid w:val="00971C0E"/>
    <w:rsid w:val="00972A44"/>
    <w:rsid w:val="0098131E"/>
    <w:rsid w:val="00986490"/>
    <w:rsid w:val="009F6D3A"/>
    <w:rsid w:val="00A110E1"/>
    <w:rsid w:val="00A1321E"/>
    <w:rsid w:val="00A33A8F"/>
    <w:rsid w:val="00A42734"/>
    <w:rsid w:val="00A672DE"/>
    <w:rsid w:val="00A70E53"/>
    <w:rsid w:val="00A84D9C"/>
    <w:rsid w:val="00A850AA"/>
    <w:rsid w:val="00A9439E"/>
    <w:rsid w:val="00AA1452"/>
    <w:rsid w:val="00AC31A1"/>
    <w:rsid w:val="00AC78D2"/>
    <w:rsid w:val="00AD0E04"/>
    <w:rsid w:val="00AD2725"/>
    <w:rsid w:val="00AD2F37"/>
    <w:rsid w:val="00AF2D41"/>
    <w:rsid w:val="00B144DC"/>
    <w:rsid w:val="00B17271"/>
    <w:rsid w:val="00B3361E"/>
    <w:rsid w:val="00B37615"/>
    <w:rsid w:val="00B50714"/>
    <w:rsid w:val="00B76360"/>
    <w:rsid w:val="00B8066A"/>
    <w:rsid w:val="00B824AF"/>
    <w:rsid w:val="00B92B03"/>
    <w:rsid w:val="00BB43C0"/>
    <w:rsid w:val="00BC1190"/>
    <w:rsid w:val="00BC654A"/>
    <w:rsid w:val="00BD6333"/>
    <w:rsid w:val="00BE621A"/>
    <w:rsid w:val="00BF1AB3"/>
    <w:rsid w:val="00C4477C"/>
    <w:rsid w:val="00C44CBB"/>
    <w:rsid w:val="00C90ACB"/>
    <w:rsid w:val="00C91EFD"/>
    <w:rsid w:val="00CA70FD"/>
    <w:rsid w:val="00CB0920"/>
    <w:rsid w:val="00CB12E9"/>
    <w:rsid w:val="00CC5394"/>
    <w:rsid w:val="00CD427F"/>
    <w:rsid w:val="00CE0C92"/>
    <w:rsid w:val="00CF5A43"/>
    <w:rsid w:val="00D04CAA"/>
    <w:rsid w:val="00D07E27"/>
    <w:rsid w:val="00D22461"/>
    <w:rsid w:val="00D32544"/>
    <w:rsid w:val="00D424E1"/>
    <w:rsid w:val="00D51B63"/>
    <w:rsid w:val="00D56772"/>
    <w:rsid w:val="00D62F65"/>
    <w:rsid w:val="00D85F58"/>
    <w:rsid w:val="00DB16A0"/>
    <w:rsid w:val="00DB7D7F"/>
    <w:rsid w:val="00DD4885"/>
    <w:rsid w:val="00DD696B"/>
    <w:rsid w:val="00DE4D49"/>
    <w:rsid w:val="00E01986"/>
    <w:rsid w:val="00E05D4A"/>
    <w:rsid w:val="00E21713"/>
    <w:rsid w:val="00E23920"/>
    <w:rsid w:val="00E249E9"/>
    <w:rsid w:val="00E37C93"/>
    <w:rsid w:val="00E441E4"/>
    <w:rsid w:val="00E54C43"/>
    <w:rsid w:val="00E66035"/>
    <w:rsid w:val="00E66323"/>
    <w:rsid w:val="00E720BB"/>
    <w:rsid w:val="00E7397E"/>
    <w:rsid w:val="00E749AB"/>
    <w:rsid w:val="00E806F8"/>
    <w:rsid w:val="00E909C8"/>
    <w:rsid w:val="00E9670D"/>
    <w:rsid w:val="00EA5984"/>
    <w:rsid w:val="00EB0341"/>
    <w:rsid w:val="00EC071C"/>
    <w:rsid w:val="00ED4D56"/>
    <w:rsid w:val="00ED6364"/>
    <w:rsid w:val="00EE3467"/>
    <w:rsid w:val="00EE4E2A"/>
    <w:rsid w:val="00EF6CC5"/>
    <w:rsid w:val="00F03CBD"/>
    <w:rsid w:val="00F24E53"/>
    <w:rsid w:val="00F24F20"/>
    <w:rsid w:val="00F62800"/>
    <w:rsid w:val="00F66F38"/>
    <w:rsid w:val="00F96A97"/>
    <w:rsid w:val="00FA6167"/>
    <w:rsid w:val="00FB38CD"/>
    <w:rsid w:val="00FC7471"/>
    <w:rsid w:val="00FD18D6"/>
    <w:rsid w:val="00FE6804"/>
    <w:rsid w:val="00FE74FB"/>
    <w:rsid w:val="00FF7571"/>
    <w:rsid w:val="065760B4"/>
    <w:rsid w:val="15487FC7"/>
    <w:rsid w:val="207F7B06"/>
    <w:rsid w:val="24A776A1"/>
    <w:rsid w:val="30A90FF0"/>
    <w:rsid w:val="337E02F7"/>
    <w:rsid w:val="3CDF2599"/>
    <w:rsid w:val="49166DE6"/>
    <w:rsid w:val="57605062"/>
    <w:rsid w:val="5B420DA7"/>
    <w:rsid w:val="5DA051FC"/>
    <w:rsid w:val="638B23A0"/>
    <w:rsid w:val="69561A30"/>
    <w:rsid w:val="6C494FFC"/>
    <w:rsid w:val="6FA678A5"/>
    <w:rsid w:val="7C35518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ocked="1"/>
    <w:lsdException w:qFormat="1" w:uiPriority="0" w:name="heading 2" w:locked="1"/>
    <w:lsdException w:qFormat="1" w:uiPriority="0" w:name="heading 3" w:locked="1"/>
    <w:lsdException w:qFormat="1" w:uiPriority="0" w:name="heading 4" w:locked="1"/>
    <w:lsdException w:qFormat="1" w:uiPriority="0" w:name="heading 5" w:locked="1"/>
    <w:lsdException w:qFormat="1" w:uiPriority="0" w:name="heading 6" w:locked="1"/>
    <w:lsdException w:qFormat="1" w:uiPriority="0" w:name="heading 7" w:locked="1"/>
    <w:lsdException w:qFormat="1" w:uiPriority="0" w:name="heading 8" w:locked="1"/>
    <w:lsdException w:qFormat="1" w:uiPriority="0" w:name="heading 9" w:locked="1"/>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nhideWhenUsed="0" w:uiPriority="0" w:semiHidden="0" w:name="toc 1" w:locked="1"/>
    <w:lsdException w:unhideWhenUsed="0" w:uiPriority="0" w:semiHidden="0" w:name="toc 2" w:locked="1"/>
    <w:lsdException w:unhideWhenUsed="0" w:uiPriority="0" w:semiHidden="0" w:name="toc 3" w:locked="1"/>
    <w:lsdException w:unhideWhenUsed="0" w:uiPriority="0" w:semiHidden="0" w:name="toc 4" w:locked="1"/>
    <w:lsdException w:unhideWhenUsed="0" w:uiPriority="0" w:semiHidden="0" w:name="toc 5" w:locked="1"/>
    <w:lsdException w:unhideWhenUsed="0" w:uiPriority="0" w:semiHidden="0" w:name="toc 6" w:locked="1"/>
    <w:lsdException w:unhideWhenUsed="0" w:uiPriority="0" w:semiHidden="0" w:name="toc 7" w:locked="1"/>
    <w:lsdException w:unhideWhenUsed="0" w:uiPriority="0" w:semiHidden="0" w:name="toc 8" w:locked="1"/>
    <w:lsdException w:unhideWhenUsed="0" w:uiPriority="0" w:semiHidden="0" w:name="toc 9" w:locked="1"/>
    <w:lsdException w:uiPriority="99" w:name="Normal Indent"/>
    <w:lsdException w:uiPriority="99"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0" w:name="caption" w:locked="1"/>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ocked="1"/>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ocked="1"/>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0" w:semiHidden="0" w:name="Emphasis" w:locked="1"/>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0" w:semiHidden="0" w:name="Table Grid" w:locked="1"/>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8">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12"/>
    <w:unhideWhenUsed/>
    <w:qFormat/>
    <w:uiPriority w:val="99"/>
    <w:rPr>
      <w:sz w:val="18"/>
      <w:szCs w:val="18"/>
    </w:rPr>
  </w:style>
  <w:style w:type="paragraph" w:styleId="3">
    <w:name w:val="footer"/>
    <w:basedOn w:val="1"/>
    <w:link w:val="11"/>
    <w:qFormat/>
    <w:uiPriority w:val="99"/>
    <w:pPr>
      <w:tabs>
        <w:tab w:val="center" w:pos="4153"/>
        <w:tab w:val="right" w:pos="8306"/>
      </w:tabs>
      <w:snapToGrid w:val="0"/>
      <w:jc w:val="left"/>
    </w:pPr>
    <w:rPr>
      <w:sz w:val="18"/>
      <w:szCs w:val="18"/>
    </w:rPr>
  </w:style>
  <w:style w:type="paragraph" w:styleId="4">
    <w:name w:val="header"/>
    <w:basedOn w:val="1"/>
    <w:link w:val="10"/>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qFormat/>
    <w:uiPriority w:val="99"/>
    <w:pPr>
      <w:spacing w:beforeAutospacing="1" w:afterAutospacing="1"/>
      <w:jc w:val="left"/>
    </w:pPr>
    <w:rPr>
      <w:rFonts w:ascii="Calibri" w:hAnsi="Calibri"/>
      <w:kern w:val="0"/>
      <w:sz w:val="24"/>
      <w:szCs w:val="24"/>
    </w:rPr>
  </w:style>
  <w:style w:type="table" w:styleId="7">
    <w:name w:val="Table Grid"/>
    <w:basedOn w:val="6"/>
    <w:qFormat/>
    <w:locked/>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style>
  <w:style w:type="character" w:styleId="9">
    <w:name w:val="Strong"/>
    <w:basedOn w:val="8"/>
    <w:qFormat/>
    <w:uiPriority w:val="99"/>
    <w:rPr>
      <w:rFonts w:cs="Times New Roman"/>
      <w:b/>
      <w:bCs/>
    </w:rPr>
  </w:style>
  <w:style w:type="character" w:customStyle="1" w:styleId="10">
    <w:name w:val="页眉 Char"/>
    <w:basedOn w:val="8"/>
    <w:link w:val="4"/>
    <w:qFormat/>
    <w:locked/>
    <w:uiPriority w:val="99"/>
    <w:rPr>
      <w:rFonts w:ascii="Times New Roman" w:hAnsi="Times New Roman" w:cs="Times New Roman"/>
      <w:sz w:val="18"/>
      <w:szCs w:val="18"/>
    </w:rPr>
  </w:style>
  <w:style w:type="character" w:customStyle="1" w:styleId="11">
    <w:name w:val="页脚 Char"/>
    <w:basedOn w:val="8"/>
    <w:link w:val="3"/>
    <w:semiHidden/>
    <w:qFormat/>
    <w:locked/>
    <w:uiPriority w:val="99"/>
    <w:rPr>
      <w:rFonts w:ascii="Times New Roman" w:hAnsi="Times New Roman" w:cs="Times New Roman"/>
      <w:sz w:val="18"/>
      <w:szCs w:val="18"/>
    </w:rPr>
  </w:style>
  <w:style w:type="character" w:customStyle="1" w:styleId="12">
    <w:name w:val="批注框文本 Char"/>
    <w:basedOn w:val="8"/>
    <w:link w:val="2"/>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D1467B3-CD20-4721-BD02-FE66361C259D}">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5</Pages>
  <Words>643</Words>
  <Characters>3666</Characters>
  <Lines>30</Lines>
  <Paragraphs>8</Paragraphs>
  <TotalTime>0</TotalTime>
  <ScaleCrop>false</ScaleCrop>
  <LinksUpToDate>false</LinksUpToDate>
  <CharactersWithSpaces>4301</CharactersWithSpaces>
  <Application>WPS Office_11.1.0.8980_F1E327BC-269C-435d-A152-05C5408002CA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2017-11-17T10:47:00Z</dcterms:created>
  <dc:creator>曹文芳</dc:creator>
  <cp:lastModifiedBy>XJBANK</cp:lastModifiedBy>
  <cp:lastPrinted>2019-05-06T05:26:00Z</cp:lastPrinted>
  <dcterms:modified xsi:type="dcterms:W3CDTF">2020-01-08T05:48:24Z</dcterms:modified>
  <cp:revision>161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2052-11.1.0.8980</vt:lpwstr>
  </property>
</Properties>
</file>