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22"/>
        <w:ind w:left="3392"/>
        <w:rPr>
          <w:rFonts w:ascii="宋体" w:eastAsia="宋体"/>
          <w:sz w:val="32"/>
        </w:rPr>
      </w:pPr>
      <w:r>
        <w:rPr>
          <w:rFonts w:hint="eastAsia" w:ascii="宋体" w:eastAsia="宋体"/>
          <w:color w:val="231F20"/>
          <w:sz w:val="32"/>
        </w:rPr>
        <w:t>新疆人民币个人理财产品说明书</w:t>
      </w:r>
    </w:p>
    <w:p>
      <w:pPr>
        <w:pStyle w:val="2"/>
        <w:spacing w:before="36" w:line="247" w:lineRule="exact"/>
        <w:ind w:left="5517"/>
      </w:pPr>
      <w:r>
        <w:t>特别风险提示</w:t>
      </w:r>
    </w:p>
    <w:p>
      <w:pPr>
        <w:pStyle w:val="2"/>
        <w:spacing w:line="243" w:lineRule="exact"/>
        <w:ind w:left="890"/>
      </w:pP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pP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ind w:left="1040"/>
        <w:rPr>
          <w:rFonts w:ascii="宋体" w:eastAsia="宋体"/>
        </w:rPr>
      </w:pPr>
      <w:r>
        <w:rPr>
          <w:rFonts w:hint="eastAsia" w:ascii="宋体" w:eastAsia="宋体"/>
          <w:color w:val="231F20"/>
        </w:rPr>
        <w:t>一、产品概述</w:t>
      </w:r>
    </w:p>
    <w:tbl>
      <w:tblPr>
        <w:tblStyle w:val="7"/>
        <w:tblpPr w:leftFromText="180" w:rightFromText="180" w:vertAnchor="text" w:horzAnchor="page" w:tblpX="967" w:tblpY="251"/>
        <w:tblOverlap w:val="never"/>
        <w:tblW w:w="103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6"/>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产品名称</w:t>
            </w:r>
          </w:p>
        </w:tc>
        <w:tc>
          <w:tcPr>
            <w:tcW w:w="8972" w:type="dxa"/>
          </w:tcPr>
          <w:p>
            <w:pPr>
              <w:pStyle w:val="10"/>
              <w:tabs>
                <w:tab w:val="left" w:pos="5220"/>
              </w:tabs>
              <w:ind w:left="107" w:leftChars="0"/>
              <w:rPr>
                <w:rFonts w:ascii="PMingLiU" w:hAnsi="PMingLiU" w:eastAsia="PMingLiU" w:cs="PMingLiU"/>
                <w:sz w:val="18"/>
                <w:szCs w:val="22"/>
                <w:lang w:val="zh-CN" w:eastAsia="zh-CN" w:bidi="zh-CN"/>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53</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产品登记编码</w:t>
            </w:r>
          </w:p>
        </w:tc>
        <w:tc>
          <w:tcPr>
            <w:tcW w:w="8972" w:type="dxa"/>
          </w:tcPr>
          <w:p>
            <w:pPr>
              <w:pStyle w:val="10"/>
              <w:ind w:left="0" w:leftChars="0" w:firstLine="0" w:firstLineChars="0"/>
              <w:rPr>
                <w:rFonts w:hint="default" w:ascii="PMingLiU" w:hAnsi="PMingLiU" w:eastAsia="宋体" w:cs="PMingLiU"/>
                <w:sz w:val="18"/>
                <w:szCs w:val="22"/>
                <w:lang w:val="en-US" w:eastAsia="zh-CN" w:bidi="zh-CN"/>
              </w:rPr>
            </w:pPr>
            <w:r>
              <w:rPr>
                <w:rFonts w:hint="eastAsia"/>
                <w:color w:val="231F20"/>
                <w:sz w:val="18"/>
                <w:lang w:val="en-US" w:eastAsia="zh-CN"/>
              </w:rPr>
              <w:t xml:space="preserve">   </w:t>
            </w:r>
            <w:r>
              <w:rPr>
                <w:color w:val="231F20"/>
                <w:sz w:val="18"/>
              </w:rPr>
              <w:t>C136431900004</w:t>
            </w:r>
            <w:r>
              <w:rPr>
                <w:rFonts w:hint="eastAsia" w:eastAsia="宋体"/>
                <w:color w:val="231F20"/>
                <w:sz w:val="18"/>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产品类型</w:t>
            </w:r>
          </w:p>
        </w:tc>
        <w:tc>
          <w:tcPr>
            <w:tcW w:w="8972" w:type="dxa"/>
          </w:tcPr>
          <w:p>
            <w:pPr>
              <w:pStyle w:val="10"/>
              <w:ind w:left="107" w:leftChars="0"/>
              <w:rPr>
                <w:rFonts w:ascii="PMingLiU" w:hAnsi="PMingLiU" w:eastAsia="PMingLiU" w:cs="PMingLiU"/>
                <w:sz w:val="18"/>
                <w:szCs w:val="22"/>
                <w:lang w:val="zh-CN" w:eastAsia="zh-CN" w:bidi="zh-CN"/>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产品流动性</w:t>
            </w:r>
          </w:p>
        </w:tc>
        <w:tc>
          <w:tcPr>
            <w:tcW w:w="8972" w:type="dxa"/>
          </w:tcPr>
          <w:p>
            <w:pPr>
              <w:pStyle w:val="10"/>
              <w:ind w:left="107" w:leftChars="0"/>
              <w:rPr>
                <w:rFonts w:ascii="PMingLiU" w:hAnsi="PMingLiU" w:eastAsia="PMingLiU" w:cs="PMingLiU"/>
                <w:sz w:val="18"/>
                <w:szCs w:val="22"/>
                <w:lang w:val="zh-CN" w:eastAsia="zh-CN" w:bidi="zh-CN"/>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投资及收益币种</w:t>
            </w:r>
          </w:p>
        </w:tc>
        <w:tc>
          <w:tcPr>
            <w:tcW w:w="8972" w:type="dxa"/>
          </w:tcPr>
          <w:p>
            <w:pPr>
              <w:pStyle w:val="10"/>
              <w:ind w:left="107" w:leftChars="0"/>
              <w:rPr>
                <w:rFonts w:ascii="PMingLiU" w:hAnsi="PMingLiU" w:eastAsia="PMingLiU" w:cs="PMingLiU"/>
                <w:sz w:val="18"/>
                <w:szCs w:val="22"/>
                <w:lang w:val="zh-CN" w:eastAsia="zh-CN" w:bidi="zh-CN"/>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产品期限</w:t>
            </w:r>
          </w:p>
        </w:tc>
        <w:tc>
          <w:tcPr>
            <w:tcW w:w="8972" w:type="dxa"/>
          </w:tcPr>
          <w:p>
            <w:pPr>
              <w:pStyle w:val="10"/>
              <w:tabs>
                <w:tab w:val="left" w:pos="715"/>
              </w:tabs>
              <w:ind w:left="48" w:leftChars="0"/>
              <w:rPr>
                <w:rFonts w:ascii="PMingLiU" w:hAnsi="PMingLiU" w:eastAsia="PMingLiU" w:cs="PMingLiU"/>
                <w:sz w:val="18"/>
                <w:szCs w:val="22"/>
                <w:lang w:val="zh-CN" w:eastAsia="zh-CN" w:bidi="zh-CN"/>
              </w:rPr>
            </w:pPr>
            <w:r>
              <w:rPr>
                <w:color w:val="231F20"/>
                <w:sz w:val="18"/>
              </w:rPr>
              <w:t>【</w:t>
            </w:r>
            <w:r>
              <w:rPr>
                <w:rFonts w:hint="eastAsia" w:eastAsia="宋体"/>
                <w:color w:val="231F20"/>
                <w:sz w:val="18"/>
                <w:lang w:val="en-US" w:eastAsia="zh-CN"/>
              </w:rPr>
              <w:t>100</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募集规模</w:t>
            </w:r>
          </w:p>
        </w:tc>
        <w:tc>
          <w:tcPr>
            <w:tcW w:w="8972" w:type="dxa"/>
          </w:tcPr>
          <w:p>
            <w:pPr>
              <w:pStyle w:val="10"/>
              <w:tabs>
                <w:tab w:val="left" w:pos="1795"/>
                <w:tab w:val="left" w:pos="4414"/>
              </w:tabs>
              <w:ind w:left="107" w:leftChars="0"/>
              <w:rPr>
                <w:rFonts w:ascii="PMingLiU" w:hAnsi="PMingLiU" w:eastAsia="PMingLiU" w:cs="PMingLiU"/>
                <w:sz w:val="18"/>
                <w:szCs w:val="22"/>
                <w:lang w:val="zh-CN" w:eastAsia="zh-CN" w:bidi="zh-CN"/>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20</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内部风险评级</w:t>
            </w:r>
          </w:p>
        </w:tc>
        <w:tc>
          <w:tcPr>
            <w:tcW w:w="8972" w:type="dxa"/>
          </w:tcPr>
          <w:p>
            <w:pPr>
              <w:pStyle w:val="10"/>
              <w:ind w:left="107" w:leftChars="0"/>
              <w:rPr>
                <w:rFonts w:ascii="PMingLiU" w:hAnsi="PMingLiU" w:eastAsia="PMingLiU" w:cs="PMingLiU"/>
                <w:sz w:val="18"/>
                <w:szCs w:val="22"/>
                <w:lang w:val="zh-CN" w:eastAsia="zh-CN" w:bidi="zh-CN"/>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适合客户类型</w:t>
            </w:r>
          </w:p>
        </w:tc>
        <w:tc>
          <w:tcPr>
            <w:tcW w:w="8972" w:type="dxa"/>
          </w:tcPr>
          <w:p>
            <w:pPr>
              <w:pStyle w:val="10"/>
              <w:ind w:left="107" w:leftChars="0"/>
              <w:rPr>
                <w:rFonts w:ascii="PMingLiU" w:hAnsi="PMingLiU" w:eastAsia="PMingLiU" w:cs="PMingLiU"/>
                <w:sz w:val="18"/>
                <w:szCs w:val="22"/>
                <w:lang w:val="zh-CN" w:eastAsia="zh-CN" w:bidi="zh-CN"/>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426" w:type="dxa"/>
          </w:tcPr>
          <w:p>
            <w:pPr>
              <w:pStyle w:val="10"/>
              <w:spacing w:before="120"/>
              <w:ind w:right="106"/>
              <w:jc w:val="center"/>
              <w:rPr>
                <w:sz w:val="18"/>
              </w:rPr>
            </w:pPr>
            <w:r>
              <w:rPr>
                <w:color w:val="231F20"/>
                <w:sz w:val="18"/>
              </w:rPr>
              <w:t>提前终止权</w:t>
            </w:r>
          </w:p>
        </w:tc>
        <w:tc>
          <w:tcPr>
            <w:tcW w:w="8972" w:type="dxa"/>
          </w:tcPr>
          <w:p>
            <w:pPr>
              <w:pStyle w:val="10"/>
              <w:spacing w:before="36" w:line="204" w:lineRule="exact"/>
              <w:ind w:left="107" w:leftChars="0" w:right="212" w:rightChars="0"/>
              <w:rPr>
                <w:rFonts w:ascii="PMingLiU" w:hAnsi="PMingLiU" w:eastAsia="PMingLiU" w:cs="PMingLiU"/>
                <w:sz w:val="18"/>
                <w:szCs w:val="22"/>
                <w:lang w:val="zh-CN" w:eastAsia="zh-CN" w:bidi="zh-CN"/>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0"/>
              <w:ind w:left="107" w:leftChars="0"/>
              <w:rPr>
                <w:rFonts w:ascii="PMingLiU" w:hAnsi="PMingLiU" w:eastAsia="PMingLiU" w:cs="PMingLiU"/>
                <w:sz w:val="18"/>
                <w:szCs w:val="22"/>
                <w:lang w:val="zh-CN" w:eastAsia="zh-CN" w:bidi="zh-CN"/>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8" w:hRule="atLeast"/>
        </w:trPr>
        <w:tc>
          <w:tcPr>
            <w:tcW w:w="1426" w:type="dxa"/>
          </w:tcPr>
          <w:p>
            <w:pPr>
              <w:pStyle w:val="10"/>
              <w:spacing w:before="4"/>
              <w:ind w:left="0"/>
              <w:rPr>
                <w:rFonts w:ascii="宋体"/>
                <w:sz w:val="17"/>
              </w:rPr>
            </w:pPr>
          </w:p>
          <w:p>
            <w:pPr>
              <w:pStyle w:val="10"/>
              <w:spacing w:before="0"/>
              <w:ind w:right="106"/>
              <w:jc w:val="center"/>
              <w:rPr>
                <w:sz w:val="18"/>
              </w:rPr>
            </w:pPr>
            <w:r>
              <w:rPr>
                <w:color w:val="231F20"/>
                <w:sz w:val="18"/>
              </w:rPr>
              <w:t>募集期</w:t>
            </w:r>
          </w:p>
        </w:tc>
        <w:tc>
          <w:tcPr>
            <w:tcW w:w="8972" w:type="dxa"/>
          </w:tcPr>
          <w:p>
            <w:pPr>
              <w:pStyle w:val="10"/>
              <w:spacing w:before="36" w:line="204" w:lineRule="exact"/>
              <w:ind w:left="107" w:leftChars="0" w:right="157" w:rightChars="0" w:hanging="60" w:firstLineChars="0"/>
              <w:jc w:val="both"/>
              <w:rPr>
                <w:rFonts w:ascii="PMingLiU" w:hAnsi="PMingLiU" w:eastAsia="PMingLiU" w:cs="PMingLiU"/>
                <w:sz w:val="18"/>
                <w:szCs w:val="22"/>
                <w:lang w:val="zh-CN" w:eastAsia="zh-CN" w:bidi="zh-CN"/>
              </w:rPr>
            </w:pPr>
            <w:r>
              <w:rPr>
                <w:color w:val="231F20"/>
                <w:spacing w:val="-15"/>
                <w:sz w:val="18"/>
              </w:rPr>
              <w:t>【</w:t>
            </w:r>
            <w:r>
              <w:rPr>
                <w:rFonts w:hint="eastAsia" w:eastAsia="宋体"/>
                <w:color w:val="231F20"/>
                <w:spacing w:val="-15"/>
                <w:sz w:val="18"/>
                <w:lang w:val="en-US"/>
              </w:rPr>
              <w:t xml:space="preserve">  201</w:t>
            </w:r>
            <w:r>
              <w:rPr>
                <w:rFonts w:hint="eastAsia" w:eastAsia="宋体"/>
                <w:color w:val="231F20"/>
                <w:spacing w:val="-15"/>
                <w:sz w:val="18"/>
                <w:lang w:val="en-US" w:eastAsia="zh-CN"/>
              </w:rPr>
              <w:t>9</w:t>
            </w:r>
            <w:r>
              <w:rPr>
                <w:rFonts w:hint="eastAsia" w:eastAsia="宋体"/>
                <w:color w:val="231F20"/>
                <w:spacing w:val="-15"/>
                <w:sz w:val="18"/>
                <w:lang w:val="en-US"/>
              </w:rPr>
              <w:t xml:space="preserve"> </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 xml:space="preserve">12 </w:t>
            </w:r>
            <w:r>
              <w:rPr>
                <w:color w:val="231F20"/>
                <w:spacing w:val="-15"/>
                <w:sz w:val="18"/>
              </w:rPr>
              <w:t>】月【</w:t>
            </w:r>
            <w:r>
              <w:rPr>
                <w:rFonts w:hint="eastAsia" w:eastAsia="宋体"/>
                <w:color w:val="231F20"/>
                <w:spacing w:val="-15"/>
                <w:sz w:val="18"/>
                <w:lang w:val="en-US" w:eastAsia="zh-CN"/>
              </w:rPr>
              <w:t xml:space="preserve"> 17 </w:t>
            </w:r>
            <w:r>
              <w:rPr>
                <w:color w:val="231F20"/>
                <w:spacing w:val="-15"/>
                <w:sz w:val="18"/>
              </w:rPr>
              <w:t xml:space="preserve">】日至【 </w:t>
            </w:r>
            <w:r>
              <w:rPr>
                <w:rFonts w:hint="eastAsia" w:eastAsia="宋体"/>
                <w:color w:val="231F20"/>
                <w:spacing w:val="-15"/>
                <w:sz w:val="18"/>
                <w:lang w:val="en-US" w:eastAsia="zh-CN"/>
              </w:rPr>
              <w:t>2019</w:t>
            </w:r>
            <w:r>
              <w:rPr>
                <w:color w:val="231F20"/>
                <w:spacing w:val="-15"/>
                <w:sz w:val="18"/>
              </w:rPr>
              <w:t xml:space="preserve">】年【 </w:t>
            </w:r>
            <w:r>
              <w:rPr>
                <w:rFonts w:hint="eastAsia" w:eastAsia="宋体"/>
                <w:color w:val="231F20"/>
                <w:spacing w:val="-15"/>
                <w:sz w:val="18"/>
                <w:lang w:val="en-US" w:eastAsia="zh-CN"/>
              </w:rPr>
              <w:t>12</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23</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426" w:type="dxa"/>
          </w:tcPr>
          <w:p>
            <w:pPr>
              <w:pStyle w:val="10"/>
              <w:spacing w:before="3"/>
              <w:ind w:left="0"/>
              <w:rPr>
                <w:rFonts w:ascii="宋体"/>
                <w:sz w:val="25"/>
              </w:rPr>
            </w:pPr>
          </w:p>
          <w:p>
            <w:pPr>
              <w:pStyle w:val="10"/>
              <w:spacing w:before="0"/>
              <w:ind w:right="106"/>
              <w:jc w:val="center"/>
              <w:rPr>
                <w:sz w:val="18"/>
              </w:rPr>
            </w:pPr>
            <w:r>
              <w:rPr>
                <w:color w:val="231F20"/>
                <w:sz w:val="18"/>
              </w:rPr>
              <w:t>成立日</w:t>
            </w:r>
          </w:p>
        </w:tc>
        <w:tc>
          <w:tcPr>
            <w:tcW w:w="8972" w:type="dxa"/>
          </w:tcPr>
          <w:p>
            <w:pPr>
              <w:pStyle w:val="10"/>
              <w:spacing w:before="36" w:line="204" w:lineRule="exact"/>
              <w:ind w:left="107" w:leftChars="0" w:right="124" w:rightChars="0" w:hanging="60" w:firstLineChars="0"/>
              <w:jc w:val="both"/>
              <w:rPr>
                <w:rFonts w:ascii="PMingLiU" w:hAnsi="PMingLiU" w:eastAsia="PMingLiU" w:cs="PMingLiU"/>
                <w:sz w:val="18"/>
                <w:szCs w:val="22"/>
                <w:lang w:val="zh-CN" w:eastAsia="zh-CN" w:bidi="zh-CN"/>
              </w:rPr>
            </w:pPr>
            <w:r>
              <w:rPr>
                <w:color w:val="231F20"/>
                <w:spacing w:val="-22"/>
                <w:sz w:val="18"/>
              </w:rPr>
              <w:t>【</w:t>
            </w:r>
            <w:r>
              <w:rPr>
                <w:rFonts w:hint="eastAsia" w:eastAsia="宋体"/>
                <w:color w:val="231F20"/>
                <w:spacing w:val="-22"/>
                <w:sz w:val="18"/>
                <w:lang w:val="en-US" w:eastAsia="zh-CN"/>
              </w:rPr>
              <w:t>2019</w:t>
            </w:r>
            <w:r>
              <w:rPr>
                <w:color w:val="231F20"/>
                <w:spacing w:val="-22"/>
                <w:sz w:val="18"/>
              </w:rPr>
              <w:t>】年【</w:t>
            </w:r>
            <w:r>
              <w:rPr>
                <w:rFonts w:hint="eastAsia" w:eastAsia="宋体"/>
                <w:color w:val="231F20"/>
                <w:spacing w:val="-22"/>
                <w:sz w:val="18"/>
                <w:lang w:val="en-US" w:eastAsia="zh-CN"/>
              </w:rPr>
              <w:t xml:space="preserve"> 12 </w:t>
            </w:r>
            <w:r>
              <w:rPr>
                <w:color w:val="231F20"/>
                <w:spacing w:val="-22"/>
                <w:sz w:val="18"/>
              </w:rPr>
              <w:t>】月【</w:t>
            </w:r>
            <w:r>
              <w:rPr>
                <w:rFonts w:hint="eastAsia" w:eastAsia="宋体"/>
                <w:color w:val="231F20"/>
                <w:spacing w:val="-22"/>
                <w:sz w:val="18"/>
                <w:lang w:val="en-US" w:eastAsia="zh-CN"/>
              </w:rPr>
              <w:t>24</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426" w:type="dxa"/>
          </w:tcPr>
          <w:p>
            <w:pPr>
              <w:pStyle w:val="10"/>
              <w:spacing w:before="120"/>
              <w:ind w:right="106"/>
              <w:jc w:val="center"/>
              <w:rPr>
                <w:sz w:val="18"/>
              </w:rPr>
            </w:pPr>
            <w:r>
              <w:rPr>
                <w:color w:val="231F20"/>
                <w:sz w:val="18"/>
              </w:rPr>
              <w:t>到期日</w:t>
            </w:r>
          </w:p>
        </w:tc>
        <w:tc>
          <w:tcPr>
            <w:tcW w:w="8972" w:type="dxa"/>
          </w:tcPr>
          <w:p>
            <w:pPr>
              <w:pStyle w:val="10"/>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04</w:t>
            </w:r>
            <w:r>
              <w:rPr>
                <w:color w:val="231F20"/>
                <w:spacing w:val="-60"/>
                <w:sz w:val="18"/>
              </w:rPr>
              <w:t>】月</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 xml:space="preserve">02 </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0"/>
              <w:spacing w:before="0" w:line="209" w:lineRule="exact"/>
              <w:ind w:left="107" w:leftChars="0"/>
              <w:rPr>
                <w:rFonts w:ascii="PMingLiU" w:hAnsi="PMingLiU" w:eastAsia="PMingLiU" w:cs="PMingLiU"/>
                <w:sz w:val="18"/>
                <w:szCs w:val="22"/>
                <w:lang w:val="zh-CN" w:eastAsia="zh-CN" w:bidi="zh-CN"/>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426" w:type="dxa"/>
          </w:tcPr>
          <w:p>
            <w:pPr>
              <w:pStyle w:val="10"/>
              <w:spacing w:before="3"/>
              <w:ind w:left="0"/>
              <w:rPr>
                <w:rFonts w:ascii="宋体"/>
                <w:sz w:val="25"/>
              </w:rPr>
            </w:pPr>
          </w:p>
          <w:p>
            <w:pPr>
              <w:pStyle w:val="10"/>
              <w:spacing w:before="0"/>
              <w:ind w:right="106"/>
              <w:jc w:val="center"/>
              <w:rPr>
                <w:sz w:val="18"/>
              </w:rPr>
            </w:pPr>
            <w:r>
              <w:rPr>
                <w:color w:val="231F20"/>
                <w:sz w:val="18"/>
              </w:rPr>
              <w:t>兑付日</w:t>
            </w:r>
          </w:p>
        </w:tc>
        <w:tc>
          <w:tcPr>
            <w:tcW w:w="8972" w:type="dxa"/>
          </w:tcPr>
          <w:p>
            <w:pPr>
              <w:pStyle w:val="10"/>
              <w:spacing w:before="36" w:line="204" w:lineRule="exact"/>
              <w:ind w:left="107" w:leftChars="0" w:right="101" w:rightChars="0" w:hanging="60" w:firstLineChars="0"/>
              <w:jc w:val="both"/>
              <w:rPr>
                <w:rFonts w:ascii="PMingLiU" w:hAnsi="PMingLiU" w:eastAsia="PMingLiU" w:cs="PMingLiU"/>
                <w:sz w:val="18"/>
                <w:szCs w:val="22"/>
                <w:lang w:val="zh-CN" w:eastAsia="zh-CN" w:bidi="zh-CN"/>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04</w:t>
            </w:r>
            <w:r>
              <w:rPr>
                <w:color w:val="231F20"/>
                <w:spacing w:val="-60"/>
                <w:sz w:val="18"/>
              </w:rPr>
              <w:t>】月</w:t>
            </w:r>
            <w:r>
              <w:rPr>
                <w:color w:val="231F20"/>
                <w:sz w:val="18"/>
              </w:rPr>
              <w:t>【</w:t>
            </w:r>
            <w:r>
              <w:rPr>
                <w:rFonts w:hint="eastAsia" w:eastAsia="宋体"/>
                <w:color w:val="231F20"/>
                <w:sz w:val="18"/>
                <w:lang w:val="en-US" w:eastAsia="zh-CN"/>
              </w:rPr>
              <w:t>02</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90" w:hRule="atLeast"/>
        </w:trPr>
        <w:tc>
          <w:tcPr>
            <w:tcW w:w="1426" w:type="dxa"/>
          </w:tcPr>
          <w:p>
            <w:pPr>
              <w:pStyle w:val="10"/>
              <w:spacing w:before="0"/>
              <w:ind w:left="0"/>
              <w:rPr>
                <w:rFonts w:ascii="宋体"/>
                <w:sz w:val="20"/>
              </w:rPr>
            </w:pPr>
          </w:p>
          <w:p>
            <w:pPr>
              <w:pStyle w:val="10"/>
              <w:spacing w:before="1"/>
              <w:ind w:left="0"/>
              <w:rPr>
                <w:rFonts w:ascii="宋体"/>
                <w:sz w:val="21"/>
              </w:rPr>
            </w:pPr>
          </w:p>
          <w:p>
            <w:pPr>
              <w:pStyle w:val="10"/>
              <w:spacing w:before="0" w:line="227" w:lineRule="exact"/>
              <w:ind w:right="106"/>
              <w:jc w:val="center"/>
              <w:rPr>
                <w:sz w:val="18"/>
              </w:rPr>
            </w:pPr>
            <w:r>
              <w:rPr>
                <w:color w:val="231F20"/>
                <w:sz w:val="18"/>
              </w:rPr>
              <w:t>银行管理费率</w:t>
            </w:r>
          </w:p>
          <w:p>
            <w:pPr>
              <w:pStyle w:val="10"/>
              <w:spacing w:before="0" w:line="227" w:lineRule="exact"/>
              <w:ind w:right="106"/>
              <w:jc w:val="center"/>
              <w:rPr>
                <w:sz w:val="18"/>
              </w:rPr>
            </w:pPr>
            <w:r>
              <w:rPr>
                <w:color w:val="231F20"/>
                <w:sz w:val="18"/>
              </w:rPr>
              <w:t>（年）</w:t>
            </w:r>
          </w:p>
        </w:tc>
        <w:tc>
          <w:tcPr>
            <w:tcW w:w="8972" w:type="dxa"/>
          </w:tcPr>
          <w:p>
            <w:pPr>
              <w:pStyle w:val="10"/>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0"/>
              <w:spacing w:before="0" w:line="192" w:lineRule="exact"/>
              <w:ind w:left="107"/>
              <w:rPr>
                <w:sz w:val="18"/>
              </w:rPr>
            </w:pPr>
            <w:r>
              <w:rPr>
                <w:color w:val="231F20"/>
                <w:w w:val="105"/>
                <w:sz w:val="18"/>
              </w:rPr>
              <w:t>产品托管费：根据理财本金，按日计算，在产品到期兑付时一次性收取，托管费年化费率为【0.01】%。</w:t>
            </w:r>
          </w:p>
          <w:p>
            <w:pPr>
              <w:pStyle w:val="10"/>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0"/>
              <w:spacing w:before="0" w:line="196" w:lineRule="exact"/>
              <w:ind w:left="107" w:leftChars="0"/>
              <w:rPr>
                <w:rFonts w:ascii="PMingLiU" w:hAnsi="PMingLiU" w:eastAsia="PMingLiU" w:cs="PMingLiU"/>
                <w:sz w:val="18"/>
                <w:szCs w:val="22"/>
                <w:lang w:val="zh-CN" w:eastAsia="zh-CN" w:bidi="zh-CN"/>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426" w:type="dxa"/>
          </w:tcPr>
          <w:p>
            <w:pPr>
              <w:pStyle w:val="10"/>
              <w:spacing w:before="0"/>
              <w:ind w:left="0"/>
              <w:rPr>
                <w:rFonts w:ascii="宋体"/>
                <w:sz w:val="20"/>
              </w:rPr>
            </w:pPr>
          </w:p>
          <w:p>
            <w:pPr>
              <w:pStyle w:val="10"/>
              <w:spacing w:before="0" w:line="194" w:lineRule="auto"/>
              <w:ind w:left="405" w:right="123" w:hanging="270"/>
              <w:rPr>
                <w:sz w:val="18"/>
              </w:rPr>
            </w:pPr>
            <w:r>
              <w:rPr>
                <w:color w:val="231F20"/>
                <w:sz w:val="18"/>
              </w:rPr>
              <w:t>理财产品参考年化收益率</w:t>
            </w:r>
          </w:p>
        </w:tc>
        <w:tc>
          <w:tcPr>
            <w:tcW w:w="8972" w:type="dxa"/>
          </w:tcPr>
          <w:p>
            <w:pPr>
              <w:pStyle w:val="10"/>
              <w:tabs>
                <w:tab w:val="left" w:pos="2695"/>
              </w:tabs>
              <w:spacing w:before="36" w:line="204" w:lineRule="exact"/>
              <w:ind w:left="107" w:leftChars="0" w:right="122" w:rightChars="0"/>
              <w:rPr>
                <w:rFonts w:ascii="PMingLiU" w:hAnsi="PMingLiU" w:eastAsia="PMingLiU" w:cs="PMingLiU"/>
                <w:sz w:val="18"/>
                <w:szCs w:val="22"/>
                <w:lang w:val="zh-CN" w:eastAsia="zh-CN" w:bidi="zh-CN"/>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4.4</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426" w:type="dxa"/>
          </w:tcPr>
          <w:p>
            <w:pPr>
              <w:pStyle w:val="10"/>
              <w:ind w:right="106"/>
              <w:jc w:val="center"/>
              <w:rPr>
                <w:sz w:val="18"/>
              </w:rPr>
            </w:pPr>
            <w:r>
              <w:rPr>
                <w:color w:val="231F20"/>
                <w:sz w:val="18"/>
              </w:rPr>
              <w:t>认购起点金额</w:t>
            </w:r>
          </w:p>
        </w:tc>
        <w:tc>
          <w:tcPr>
            <w:tcW w:w="8972" w:type="dxa"/>
          </w:tcPr>
          <w:p>
            <w:pPr>
              <w:pStyle w:val="10"/>
              <w:ind w:left="107" w:leftChars="0"/>
              <w:rPr>
                <w:rFonts w:ascii="PMingLiU" w:hAnsi="PMingLiU" w:eastAsia="PMingLiU" w:cs="PMingLiU"/>
                <w:sz w:val="18"/>
                <w:szCs w:val="22"/>
                <w:lang w:val="zh-CN" w:eastAsia="zh-CN" w:bidi="zh-CN"/>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426" w:type="dxa"/>
          </w:tcPr>
          <w:p>
            <w:pPr>
              <w:pStyle w:val="10"/>
              <w:spacing w:before="120"/>
              <w:ind w:right="106"/>
              <w:jc w:val="center"/>
              <w:rPr>
                <w:sz w:val="18"/>
              </w:rPr>
            </w:pPr>
            <w:r>
              <w:rPr>
                <w:color w:val="231F20"/>
                <w:sz w:val="18"/>
              </w:rPr>
              <w:t>最小起息金额</w:t>
            </w:r>
          </w:p>
        </w:tc>
        <w:tc>
          <w:tcPr>
            <w:tcW w:w="8972" w:type="dxa"/>
          </w:tcPr>
          <w:p>
            <w:pPr>
              <w:pStyle w:val="10"/>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0"/>
              <w:spacing w:before="0" w:line="209" w:lineRule="exact"/>
              <w:ind w:left="107" w:leftChars="0"/>
              <w:rPr>
                <w:rFonts w:ascii="PMingLiU" w:hAnsi="PMingLiU" w:eastAsia="PMingLiU" w:cs="PMingLiU"/>
                <w:sz w:val="18"/>
                <w:szCs w:val="22"/>
                <w:lang w:val="zh-CN" w:eastAsia="zh-CN" w:bidi="zh-CN"/>
              </w:rPr>
            </w:pPr>
            <w:r>
              <w:rPr>
                <w:color w:val="231F20"/>
                <w:sz w:val="18"/>
              </w:rPr>
              <w:t>息，理财本金将在募集期结束后3 个工作日内返还投资人。</w:t>
            </w:r>
          </w:p>
        </w:tc>
      </w:tr>
    </w:tbl>
    <w:p>
      <w:pPr>
        <w:spacing w:line="209" w:lineRule="exact"/>
        <w:rPr>
          <w:sz w:val="18"/>
        </w:rPr>
        <w:sectPr>
          <w:headerReference r:id="rId3" w:type="default"/>
          <w:footerReference r:id="rId4" w:type="default"/>
          <w:type w:val="continuous"/>
          <w:pgSz w:w="11910" w:h="16840"/>
          <w:pgMar w:top="0" w:right="0" w:bottom="500" w:left="0" w:header="0" w:footer="311" w:gutter="0"/>
          <w:pgNumType w:start="1"/>
          <w:cols w:space="720" w:num="1"/>
        </w:sectPr>
      </w:pPr>
    </w:p>
    <w:p>
      <w:pPr>
        <w:pStyle w:val="2"/>
        <w:spacing w:line="93" w:lineRule="exact"/>
        <w:ind w:left="5453"/>
        <w:rPr>
          <w:rFonts w:ascii="宋体"/>
          <w:sz w:val="9"/>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spacing w:before="5"/>
        <w:rPr>
          <w:rFonts w:ascii="宋体"/>
          <w:sz w:val="10"/>
        </w:rPr>
      </w:pPr>
    </w:p>
    <w:tbl>
      <w:tblPr>
        <w:tblStyle w:val="7"/>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rFonts w:ascii="宋体" w:eastAsia="宋体"/>
                <w:sz w:val="18"/>
              </w:rPr>
            </w:pPr>
            <w:r>
              <w:rPr>
                <w:rFonts w:hint="eastAsia" w:ascii="宋体" w:eastAsia="宋体"/>
                <w:color w:val="231F20"/>
                <w:sz w:val="18"/>
              </w:rPr>
              <w:t>收益支付频率</w:t>
            </w:r>
          </w:p>
        </w:tc>
        <w:tc>
          <w:tcPr>
            <w:tcW w:w="8972" w:type="dxa"/>
          </w:tcPr>
          <w:p>
            <w:pPr>
              <w:pStyle w:val="10"/>
              <w:ind w:left="107" w:leftChars="0"/>
              <w:rPr>
                <w:rFonts w:hint="eastAsia" w:ascii="宋体" w:hAnsi="PMingLiU" w:eastAsia="宋体" w:cs="PMingLiU"/>
                <w:sz w:val="18"/>
                <w:szCs w:val="22"/>
                <w:lang w:val="zh-CN" w:eastAsia="zh-CN" w:bidi="zh-CN"/>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sz w:val="18"/>
              </w:rPr>
            </w:pPr>
            <w:r>
              <w:rPr>
                <w:color w:val="231F20"/>
                <w:sz w:val="18"/>
              </w:rPr>
              <w:t>延期支付权</w:t>
            </w:r>
          </w:p>
        </w:tc>
        <w:tc>
          <w:tcPr>
            <w:tcW w:w="8972" w:type="dxa"/>
          </w:tcPr>
          <w:p>
            <w:pPr>
              <w:pStyle w:val="10"/>
              <w:spacing w:before="41" w:line="204" w:lineRule="exact"/>
              <w:ind w:left="56" w:leftChars="0" w:right="173" w:rightChars="0"/>
              <w:rPr>
                <w:rFonts w:ascii="PMingLiU" w:hAnsi="PMingLiU" w:eastAsia="PMingLiU" w:cs="PMingLiU"/>
                <w:sz w:val="18"/>
                <w:szCs w:val="22"/>
                <w:lang w:val="zh-CN" w:eastAsia="zh-CN" w:bidi="zh-CN"/>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工作日</w:t>
            </w:r>
          </w:p>
        </w:tc>
        <w:tc>
          <w:tcPr>
            <w:tcW w:w="8972" w:type="dxa"/>
          </w:tcPr>
          <w:p>
            <w:pPr>
              <w:pStyle w:val="10"/>
              <w:ind w:left="56" w:leftChars="0"/>
              <w:rPr>
                <w:rFonts w:ascii="PMingLiU" w:hAnsi="PMingLiU" w:eastAsia="PMingLiU" w:cs="PMingLiU"/>
                <w:sz w:val="18"/>
                <w:szCs w:val="22"/>
                <w:lang w:val="zh-CN" w:eastAsia="zh-CN" w:bidi="zh-CN"/>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9" w:hRule="atLeast"/>
        </w:trPr>
        <w:tc>
          <w:tcPr>
            <w:tcW w:w="1531" w:type="dxa"/>
          </w:tcPr>
          <w:p>
            <w:pPr>
              <w:pStyle w:val="10"/>
              <w:spacing w:before="10"/>
              <w:ind w:left="0"/>
              <w:rPr>
                <w:rFonts w:ascii="宋体"/>
                <w:sz w:val="17"/>
              </w:rPr>
            </w:pPr>
          </w:p>
          <w:p>
            <w:pPr>
              <w:pStyle w:val="10"/>
              <w:spacing w:before="0"/>
              <w:ind w:right="106"/>
              <w:jc w:val="center"/>
              <w:rPr>
                <w:sz w:val="18"/>
              </w:rPr>
            </w:pPr>
            <w:r>
              <w:rPr>
                <w:color w:val="231F20"/>
                <w:sz w:val="18"/>
              </w:rPr>
              <w:t>收益计算方法</w:t>
            </w:r>
          </w:p>
        </w:tc>
        <w:tc>
          <w:tcPr>
            <w:tcW w:w="8972" w:type="dxa"/>
          </w:tcPr>
          <w:p>
            <w:pPr>
              <w:pStyle w:val="10"/>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0"/>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0"/>
              <w:spacing w:before="0" w:line="214" w:lineRule="exact"/>
              <w:ind w:left="56" w:leftChars="0"/>
              <w:rPr>
                <w:rFonts w:ascii="PMingLiU" w:hAnsi="PMingLiU" w:eastAsia="PMingLiU" w:cs="PMingLiU"/>
                <w:sz w:val="18"/>
                <w:szCs w:val="22"/>
                <w:lang w:val="zh-CN" w:eastAsia="zh-CN" w:bidi="zh-CN"/>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sz w:val="18"/>
              </w:rPr>
            </w:pPr>
            <w:r>
              <w:rPr>
                <w:color w:val="231F20"/>
                <w:sz w:val="18"/>
              </w:rPr>
              <w:t>对账单</w:t>
            </w:r>
          </w:p>
        </w:tc>
        <w:tc>
          <w:tcPr>
            <w:tcW w:w="8972" w:type="dxa"/>
          </w:tcPr>
          <w:p>
            <w:pPr>
              <w:pStyle w:val="10"/>
              <w:spacing w:before="41" w:line="204" w:lineRule="exact"/>
              <w:ind w:left="56" w:leftChars="0" w:right="152" w:rightChars="0"/>
              <w:rPr>
                <w:rFonts w:ascii="PMingLiU" w:hAnsi="PMingLiU" w:eastAsia="PMingLiU" w:cs="PMingLiU"/>
                <w:sz w:val="18"/>
                <w:szCs w:val="22"/>
                <w:lang w:val="zh-CN" w:eastAsia="zh-CN" w:bidi="zh-CN"/>
              </w:rPr>
            </w:pPr>
            <w:r>
              <w:rPr>
                <w:color w:val="231F20"/>
                <w:spacing w:val="-3"/>
                <w:sz w:val="18"/>
              </w:rPr>
              <w:t>本理财产品不提供对账单。投资人同意通过新疆银行官方网站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、新疆银行官方微信或相关营业网点及时了解相关信息公告。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4" w:hRule="atLeast"/>
        </w:trPr>
        <w:tc>
          <w:tcPr>
            <w:tcW w:w="1531" w:type="dxa"/>
          </w:tcPr>
          <w:p>
            <w:pPr>
              <w:pStyle w:val="10"/>
              <w:spacing w:before="0"/>
              <w:ind w:left="0"/>
              <w:rPr>
                <w:rFonts w:ascii="宋体"/>
                <w:sz w:val="20"/>
              </w:rPr>
            </w:pPr>
          </w:p>
          <w:p>
            <w:pPr>
              <w:pStyle w:val="10"/>
              <w:spacing w:before="139"/>
              <w:ind w:right="106"/>
              <w:jc w:val="center"/>
              <w:rPr>
                <w:sz w:val="18"/>
              </w:rPr>
            </w:pPr>
            <w:r>
              <w:rPr>
                <w:color w:val="231F20"/>
                <w:sz w:val="18"/>
              </w:rPr>
              <w:t>税款</w:t>
            </w:r>
          </w:p>
        </w:tc>
        <w:tc>
          <w:tcPr>
            <w:tcW w:w="8972" w:type="dxa"/>
          </w:tcPr>
          <w:p>
            <w:pPr>
              <w:pStyle w:val="10"/>
              <w:spacing w:before="125" w:line="194" w:lineRule="auto"/>
              <w:ind w:left="56" w:leftChars="0" w:right="83" w:rightChars="0"/>
              <w:rPr>
                <w:rFonts w:ascii="PMingLiU" w:hAnsi="PMingLiU" w:eastAsia="PMingLiU" w:cs="PMingLiU"/>
                <w:sz w:val="18"/>
                <w:szCs w:val="22"/>
                <w:lang w:val="zh-CN" w:eastAsia="zh-CN" w:bidi="zh-CN"/>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sz w:val="18"/>
              </w:rPr>
            </w:pPr>
            <w:r>
              <w:rPr>
                <w:color w:val="231F20"/>
                <w:sz w:val="18"/>
              </w:rPr>
              <w:t>其他规定</w:t>
            </w:r>
          </w:p>
        </w:tc>
        <w:tc>
          <w:tcPr>
            <w:tcW w:w="8972" w:type="dxa"/>
          </w:tcPr>
          <w:p>
            <w:pPr>
              <w:pStyle w:val="10"/>
              <w:spacing w:before="25" w:line="227" w:lineRule="exact"/>
              <w:ind w:left="56"/>
              <w:rPr>
                <w:sz w:val="18"/>
              </w:rPr>
            </w:pPr>
            <w:r>
              <w:rPr>
                <w:color w:val="231F20"/>
                <w:sz w:val="18"/>
              </w:rPr>
              <w:t>本理财产品认购</w:t>
            </w:r>
            <w:r>
              <w:rPr>
                <w:rFonts w:hint="eastAsia" w:eastAsia="宋体"/>
                <w:color w:val="231F20"/>
                <w:sz w:val="18"/>
                <w:lang w:eastAsia="zh-CN"/>
              </w:rPr>
              <w:t>成功</w:t>
            </w:r>
            <w:r>
              <w:rPr>
                <w:color w:val="231F20"/>
                <w:sz w:val="18"/>
              </w:rPr>
              <w:t>后不得撤单。</w:t>
            </w:r>
          </w:p>
          <w:p>
            <w:pPr>
              <w:pStyle w:val="10"/>
              <w:spacing w:before="0" w:line="214" w:lineRule="exact"/>
              <w:ind w:left="56" w:leftChars="0"/>
              <w:rPr>
                <w:rFonts w:ascii="PMingLiU" w:hAnsi="PMingLiU" w:eastAsia="PMingLiU" w:cs="PMingLiU"/>
                <w:sz w:val="18"/>
                <w:szCs w:val="22"/>
                <w:lang w:val="zh-CN" w:eastAsia="zh-CN" w:bidi="zh-CN"/>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bl>
    <w:p>
      <w:pPr>
        <w:pStyle w:val="2"/>
        <w:spacing w:before="73" w:line="247" w:lineRule="exact"/>
        <w:ind w:left="1040"/>
      </w:pPr>
      <w:r>
        <w:rPr>
          <w:color w:val="231F20"/>
        </w:rPr>
        <w:t>二、投资范围</w:t>
      </w:r>
    </w:p>
    <w:p>
      <w:pPr>
        <w:pStyle w:val="2"/>
        <w:spacing w:line="243" w:lineRule="exact"/>
        <w:ind w:left="1040"/>
      </w:pPr>
      <w:r>
        <w:rPr>
          <w:color w:val="231F20"/>
        </w:rPr>
        <w:t>1、投资范围</w:t>
      </w:r>
    </w:p>
    <w:p>
      <w:pPr>
        <w:pStyle w:val="9"/>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9"/>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9"/>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color w:val="231F20"/>
          <w:spacing w:val="-1"/>
          <w:w w:val="103"/>
        </w:rPr>
        <w:t>1</w:t>
      </w:r>
      <w:r>
        <w:rPr>
          <w:color w:val="231F20"/>
          <w:w w:val="103"/>
        </w:rPr>
        <w:t>0</w:t>
      </w:r>
      <w:r>
        <w:rPr>
          <w:color w:val="231F20"/>
          <w:spacing w:val="-1"/>
          <w:w w:val="126"/>
        </w:rPr>
        <w:t>%-</w:t>
      </w:r>
      <w:r>
        <w:rPr>
          <w:rFonts w:hint="eastAsia" w:eastAsia="宋体"/>
          <w:color w:val="231F20"/>
          <w:spacing w:val="-1"/>
          <w:w w:val="103"/>
          <w:lang w:val="en-US" w:eastAsia="zh-CN"/>
        </w:rPr>
        <w:t>100</w:t>
      </w:r>
      <w:r>
        <w:rPr>
          <w:color w:val="231F20"/>
          <w:w w:val="91"/>
        </w:rPr>
        <w:t>%</w:t>
      </w:r>
      <w:r>
        <w:rPr>
          <w:color w:val="231F20"/>
          <w:spacing w:val="-10"/>
        </w:rPr>
        <w:t>，非标准化债券资产和其他类资产投资比例不超过</w:t>
      </w:r>
      <w:r>
        <w:rPr>
          <w:color w:val="231F20"/>
          <w:spacing w:val="-1"/>
          <w:w w:val="103"/>
        </w:rPr>
        <w:t>9</w:t>
      </w:r>
      <w:r>
        <w:rPr>
          <w:color w:val="231F20"/>
          <w:w w:val="103"/>
        </w:rPr>
        <w:t>0</w:t>
      </w:r>
      <w:r>
        <w:rPr>
          <w:color w:val="231F20"/>
          <w:w w:val="91"/>
        </w:rPr>
        <w:t>%</w:t>
      </w:r>
      <w:r>
        <w:rPr>
          <w:color w:val="231F20"/>
        </w:rPr>
        <w:t>。</w:t>
      </w:r>
    </w:p>
    <w:p>
      <w:pPr>
        <w:pStyle w:val="2"/>
        <w:spacing w:before="1" w:line="232" w:lineRule="auto"/>
        <w:ind w:left="680" w:right="678" w:firstLine="360"/>
        <w:jc w:val="both"/>
      </w:pPr>
      <w:r>
        <w:rPr>
          <w:lang w:val="en-US" w:bidi="ar-SA"/>
        </w:rPr>
        <w:drawing>
          <wp:anchor distT="0" distB="0" distL="0" distR="0" simplePos="0" relativeHeight="251648000" behindDoc="0" locked="0" layoutInCell="1" allowOverlap="1">
            <wp:simplePos x="0" y="0"/>
            <wp:positionH relativeFrom="page">
              <wp:posOffset>7538085</wp:posOffset>
            </wp:positionH>
            <wp:positionV relativeFrom="paragraph">
              <wp:posOffset>448945</wp:posOffset>
            </wp:positionV>
            <wp:extent cx="19685" cy="49530"/>
            <wp:effectExtent l="0" t="0" r="0" b="0"/>
            <wp:wrapNone/>
            <wp:docPr id="5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7.png"/>
                    <pic:cNvPicPr>
                      <a:picLocks noChangeAspect="1"/>
                    </pic:cNvPicPr>
                  </pic:nvPicPr>
                  <pic:blipFill>
                    <a:blip r:embed="rId6" cstate="print"/>
                    <a:stretch>
                      <a:fillRect/>
                    </a:stretch>
                  </pic:blipFill>
                  <pic:spPr>
                    <a:xfrm>
                      <a:off x="0" y="0"/>
                      <a:ext cx="19459" cy="49325"/>
                    </a:xfrm>
                    <a:prstGeom prst="rect">
                      <a:avLst/>
                    </a:prstGeom>
                  </pic:spPr>
                </pic:pic>
              </a:graphicData>
            </a:graphic>
          </wp:anchor>
        </w:drawing>
      </w: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r>
        <w:rPr>
          <w:lang w:val="en-US" w:bidi="ar-SA"/>
        </w:rPr>
        <w:drawing>
          <wp:anchor distT="0" distB="0" distL="0" distR="0" simplePos="0" relativeHeight="251649024" behindDoc="0" locked="0" layoutInCell="1" allowOverlap="1">
            <wp:simplePos x="0" y="0"/>
            <wp:positionH relativeFrom="page">
              <wp:posOffset>7448550</wp:posOffset>
            </wp:positionH>
            <wp:positionV relativeFrom="paragraph">
              <wp:posOffset>304165</wp:posOffset>
            </wp:positionV>
            <wp:extent cx="106045" cy="305435"/>
            <wp:effectExtent l="0" t="0" r="0" b="0"/>
            <wp:wrapNone/>
            <wp:docPr id="6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5.png"/>
                    <pic:cNvPicPr>
                      <a:picLocks noChangeAspect="1"/>
                    </pic:cNvPicPr>
                  </pic:nvPicPr>
                  <pic:blipFill>
                    <a:blip r:embed="rId7" cstate="print"/>
                    <a:stretch>
                      <a:fillRect/>
                    </a:stretch>
                  </pic:blipFill>
                  <pic:spPr>
                    <a:xfrm>
                      <a:off x="0" y="0"/>
                      <a:ext cx="106358" cy="305121"/>
                    </a:xfrm>
                    <a:prstGeom prst="rect">
                      <a:avLst/>
                    </a:prstGeom>
                  </pic:spPr>
                </pic:pic>
              </a:graphicData>
            </a:graphic>
          </wp:anchor>
        </w:drawing>
      </w:r>
      <w:r>
        <w:rPr>
          <w:color w:val="231F20"/>
          <w:spacing w:val="-2"/>
        </w:rPr>
        <w:t>1</w:t>
      </w: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w:t>
      </w:r>
      <w:bookmarkStart w:id="0" w:name="_GoBack"/>
      <w:bookmarkEnd w:id="0"/>
      <w:r>
        <w:rPr>
          <w:color w:val="231F20"/>
          <w:spacing w:val="-6"/>
        </w:rPr>
        <w:t>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 cstate="print"/>
                  <a:stretch>
                    <a:fillRect/>
                  </a:stretch>
                </pic:blipFill>
                <pic:spPr>
                  <a:xfrm>
                    <a:off x="0" y="0"/>
                    <a:ext cx="21894" cy="65775"/>
                  </a:xfrm>
                  <a:prstGeom prst="rect">
                    <a:avLst/>
                  </a:prstGeom>
                </pic:spPr>
              </pic:pic>
            </a:graphicData>
          </a:graphic>
        </wp:anchor>
      </w:drawing>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top:810.4pt;height:11.9pt;width:8.4pt;mso-position-horizontal:center;mso-position-horizontal-relative:margin;mso-position-vertical-relative:page;z-index:251659264;mso-width-relative:page;mso-height-relative:page;" filled="f" stroked="f" coordsize="21600,21600" o:gfxdata="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kM6uCdYAAAAJ&#10;AQAADwAAAAAAAAABACAAAAAiAAAAZHJzL2Rvd25yZXYueG1sUEsBAhQAFAAAAAgAh07iQAYkVlKs&#10;AQAAOwMAAA4AAAAAAAAAAQAgAAAAJQEAAGRycy9lMm9Eb2MueG1sUEsFBgAAAAAGAAYAWQEAAEMF&#10;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1146E3A"/>
    <w:rsid w:val="053552E7"/>
    <w:rsid w:val="071825C9"/>
    <w:rsid w:val="07A9729B"/>
    <w:rsid w:val="07F57B1C"/>
    <w:rsid w:val="08E84D91"/>
    <w:rsid w:val="0C0E0B30"/>
    <w:rsid w:val="0C4762F4"/>
    <w:rsid w:val="1164216E"/>
    <w:rsid w:val="11BB4CCC"/>
    <w:rsid w:val="13520601"/>
    <w:rsid w:val="138C4499"/>
    <w:rsid w:val="199B0AF0"/>
    <w:rsid w:val="22744FD3"/>
    <w:rsid w:val="24C418A7"/>
    <w:rsid w:val="25FD3B64"/>
    <w:rsid w:val="26E7777C"/>
    <w:rsid w:val="26EB7036"/>
    <w:rsid w:val="270E49C6"/>
    <w:rsid w:val="27BC5091"/>
    <w:rsid w:val="29334ACF"/>
    <w:rsid w:val="29542682"/>
    <w:rsid w:val="296B2AA5"/>
    <w:rsid w:val="2B9337D9"/>
    <w:rsid w:val="2D535882"/>
    <w:rsid w:val="316C7266"/>
    <w:rsid w:val="323672E0"/>
    <w:rsid w:val="3618222D"/>
    <w:rsid w:val="36CB4CF1"/>
    <w:rsid w:val="371A3319"/>
    <w:rsid w:val="41967E72"/>
    <w:rsid w:val="41A6132D"/>
    <w:rsid w:val="42BA266A"/>
    <w:rsid w:val="44C82C0E"/>
    <w:rsid w:val="452D2736"/>
    <w:rsid w:val="467A2C14"/>
    <w:rsid w:val="48313E4F"/>
    <w:rsid w:val="49987DAD"/>
    <w:rsid w:val="49B25517"/>
    <w:rsid w:val="4C190611"/>
    <w:rsid w:val="4D8D06C6"/>
    <w:rsid w:val="4E455651"/>
    <w:rsid w:val="4E6550C0"/>
    <w:rsid w:val="4F886FD3"/>
    <w:rsid w:val="50931F68"/>
    <w:rsid w:val="512B1646"/>
    <w:rsid w:val="51CA3C2E"/>
    <w:rsid w:val="52B81837"/>
    <w:rsid w:val="54AC4A7F"/>
    <w:rsid w:val="57847D07"/>
    <w:rsid w:val="58062916"/>
    <w:rsid w:val="58D85396"/>
    <w:rsid w:val="592A18ED"/>
    <w:rsid w:val="5A3E4947"/>
    <w:rsid w:val="5BD419BC"/>
    <w:rsid w:val="5BEE67A6"/>
    <w:rsid w:val="5E4E7F1D"/>
    <w:rsid w:val="63D849CE"/>
    <w:rsid w:val="660D3A8F"/>
    <w:rsid w:val="69C05F87"/>
    <w:rsid w:val="6B384EE0"/>
    <w:rsid w:val="6D1B32BE"/>
    <w:rsid w:val="6D366C9A"/>
    <w:rsid w:val="6FAB4278"/>
    <w:rsid w:val="6FE755D0"/>
    <w:rsid w:val="70E968B0"/>
    <w:rsid w:val="710E4DFF"/>
    <w:rsid w:val="71C03FA5"/>
    <w:rsid w:val="74CB04F8"/>
    <w:rsid w:val="753537D9"/>
    <w:rsid w:val="754E0E4F"/>
    <w:rsid w:val="7570218C"/>
    <w:rsid w:val="760E4613"/>
    <w:rsid w:val="774F641A"/>
    <w:rsid w:val="79441C1E"/>
    <w:rsid w:val="79DD32E5"/>
    <w:rsid w:val="7B1B3424"/>
    <w:rsid w:val="7E327B55"/>
    <w:rsid w:val="7FA74C7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customStyle="1" w:styleId="8">
    <w:name w:val="Table Normal"/>
    <w:unhideWhenUsed/>
    <w:qFormat/>
    <w:uiPriority w:val="2"/>
    <w:tblPr>
      <w:tblLayout w:type="fixed"/>
      <w:tblCellMar>
        <w:top w:w="0" w:type="dxa"/>
        <w:left w:w="0" w:type="dxa"/>
        <w:bottom w:w="0" w:type="dxa"/>
        <w:right w:w="0" w:type="dxa"/>
      </w:tblCellMar>
    </w:tblPr>
  </w:style>
  <w:style w:type="paragraph" w:customStyle="1" w:styleId="9">
    <w:name w:val="列出段落1"/>
    <w:basedOn w:val="1"/>
    <w:qFormat/>
    <w:uiPriority w:val="1"/>
    <w:pPr>
      <w:spacing w:before="1"/>
      <w:ind w:left="680" w:right="678" w:firstLine="297"/>
      <w:jc w:val="both"/>
    </w:pPr>
  </w:style>
  <w:style w:type="paragraph" w:customStyle="1" w:styleId="10">
    <w:name w:val="Table Paragraph"/>
    <w:basedOn w:val="1"/>
    <w:qFormat/>
    <w:uiPriority w:val="1"/>
    <w:pPr>
      <w:spacing w:before="48"/>
      <w:ind w:left="115"/>
    </w:pPr>
  </w:style>
  <w:style w:type="character" w:customStyle="1" w:styleId="11">
    <w:name w:val="批注框文本 Char"/>
    <w:basedOn w:val="6"/>
    <w:link w:val="3"/>
    <w:qFormat/>
    <w:uiPriority w:val="0"/>
    <w:rPr>
      <w:rFonts w:ascii="PMingLiU" w:hAnsi="PMingLiU" w:eastAsia="PMingLiU" w:cs="PMingLiU"/>
      <w:sz w:val="18"/>
      <w:szCs w:val="18"/>
      <w:lang w:val="zh-CN" w:bidi="zh-CN"/>
    </w:rPr>
  </w:style>
  <w:style w:type="character" w:customStyle="1" w:styleId="12">
    <w:name w:val="页眉 Char"/>
    <w:basedOn w:val="6"/>
    <w:link w:val="5"/>
    <w:qFormat/>
    <w:uiPriority w:val="0"/>
    <w:rPr>
      <w:rFonts w:ascii="PMingLiU" w:hAnsi="PMingLiU" w:eastAsia="PMingLiU" w:cs="PMingLiU"/>
      <w:sz w:val="18"/>
      <w:szCs w:val="18"/>
      <w:lang w:val="zh-CN" w:bidi="zh-CN"/>
    </w:rPr>
  </w:style>
  <w:style w:type="character" w:customStyle="1" w:styleId="13">
    <w:name w:val="页脚 Char"/>
    <w:basedOn w:val="6"/>
    <w:link w:val="4"/>
    <w:qFormat/>
    <w:uiPriority w:val="0"/>
    <w:rPr>
      <w:rFonts w:ascii="PMingLiU" w:hAnsi="PMingLiU" w:eastAsia="PMingLiU" w:cs="PMingLiU"/>
      <w:sz w:val="18"/>
      <w:szCs w:val="18"/>
      <w:lang w:val="zh-CN" w:bidi="zh-CN"/>
    </w:rPr>
  </w:style>
  <w:style w:type="character" w:customStyle="1" w:styleId="14">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803</Words>
  <Characters>4582</Characters>
  <Lines>38</Lines>
  <Paragraphs>10</Paragraphs>
  <ScaleCrop>false</ScaleCrop>
  <LinksUpToDate>false</LinksUpToDate>
  <CharactersWithSpaces>5375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曹旭红</cp:lastModifiedBy>
  <cp:lastPrinted>2019-11-06T03:12:00Z</cp:lastPrinted>
  <dcterms:modified xsi:type="dcterms:W3CDTF">2019-12-13T03:37:36Z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2052-10.8.0.5838</vt:lpwstr>
  </property>
</Properties>
</file>