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E37" w:rsidRPr="00EE5618" w:rsidRDefault="00DB3F34" w:rsidP="00EE5618">
      <w:pPr>
        <w:spacing w:line="360" w:lineRule="exact"/>
        <w:jc w:val="center"/>
        <w:rPr>
          <w:rStyle w:val="a6"/>
          <w:rFonts w:cs="宋体"/>
          <w:kern w:val="0"/>
          <w:sz w:val="28"/>
          <w:szCs w:val="28"/>
        </w:rPr>
      </w:pPr>
      <w:r>
        <w:rPr>
          <w:rStyle w:val="a6"/>
          <w:rFonts w:cs="宋体" w:hint="eastAsia"/>
          <w:kern w:val="0"/>
          <w:sz w:val="28"/>
          <w:szCs w:val="28"/>
        </w:rPr>
        <w:t>新疆银行客户权益须知</w:t>
      </w:r>
    </w:p>
    <w:p w:rsidR="005D737E" w:rsidRPr="0089158B" w:rsidRDefault="005D737E" w:rsidP="005D737E">
      <w:pPr>
        <w:widowControl/>
        <w:spacing w:line="400" w:lineRule="exact"/>
        <w:jc w:val="center"/>
        <w:rPr>
          <w:rStyle w:val="a6"/>
          <w:rFonts w:cs="宋体"/>
          <w:bCs w:val="0"/>
          <w:sz w:val="18"/>
          <w:szCs w:val="18"/>
        </w:rPr>
      </w:pPr>
      <w:r w:rsidRPr="0089158B">
        <w:rPr>
          <w:rStyle w:val="a6"/>
          <w:rFonts w:ascii="宋体" w:hAnsi="宋体" w:cs="宋体" w:hint="eastAsia"/>
          <w:kern w:val="0"/>
          <w:sz w:val="18"/>
          <w:szCs w:val="18"/>
        </w:rPr>
        <w:t>理财产品过往业绩不代表其未来表现，不等于理财产品实际收益</w:t>
      </w:r>
      <w:r w:rsidRPr="0089158B">
        <w:rPr>
          <w:rStyle w:val="a6"/>
          <w:rFonts w:cs="宋体"/>
          <w:bCs w:val="0"/>
          <w:sz w:val="18"/>
          <w:szCs w:val="18"/>
        </w:rPr>
        <w:t xml:space="preserve"> </w:t>
      </w:r>
    </w:p>
    <w:p w:rsidR="005D737E" w:rsidRPr="0089158B" w:rsidRDefault="005D737E" w:rsidP="005D737E">
      <w:pPr>
        <w:widowControl/>
        <w:spacing w:line="400" w:lineRule="exact"/>
        <w:jc w:val="center"/>
        <w:rPr>
          <w:rStyle w:val="a6"/>
          <w:rFonts w:ascii="宋体" w:hAnsi="宋体" w:cs="宋体"/>
          <w:kern w:val="0"/>
          <w:sz w:val="18"/>
          <w:szCs w:val="18"/>
        </w:rPr>
      </w:pPr>
      <w:r w:rsidRPr="0089158B">
        <w:rPr>
          <w:rStyle w:val="a6"/>
          <w:rFonts w:ascii="宋体" w:hAnsi="宋体" w:cs="宋体" w:hint="eastAsia"/>
          <w:kern w:val="0"/>
          <w:sz w:val="18"/>
          <w:szCs w:val="18"/>
        </w:rPr>
        <w:t>理财非存款、产品有风险、投资须谨慎</w:t>
      </w:r>
    </w:p>
    <w:p w:rsidR="00F56831" w:rsidRDefault="00DB3F34">
      <w:pPr>
        <w:spacing w:line="360" w:lineRule="exact"/>
        <w:rPr>
          <w:rFonts w:ascii="华文仿宋" w:eastAsia="华文仿宋" w:hAnsi="华文仿宋"/>
          <w:sz w:val="24"/>
          <w:szCs w:val="24"/>
        </w:rPr>
      </w:pPr>
      <w:r>
        <w:rPr>
          <w:rFonts w:ascii="华文仿宋" w:eastAsia="华文仿宋" w:hAnsi="华文仿宋" w:hint="eastAsia"/>
          <w:sz w:val="24"/>
          <w:szCs w:val="24"/>
        </w:rPr>
        <w:t>尊敬的客户：</w:t>
      </w:r>
    </w:p>
    <w:p w:rsidR="00F56831" w:rsidRDefault="00DB3F34">
      <w:pPr>
        <w:spacing w:line="360" w:lineRule="exact"/>
        <w:ind w:firstLine="480"/>
        <w:rPr>
          <w:rFonts w:ascii="华文仿宋" w:eastAsia="华文仿宋" w:hAnsi="华文仿宋"/>
          <w:sz w:val="24"/>
          <w:szCs w:val="24"/>
        </w:rPr>
      </w:pPr>
      <w:r>
        <w:rPr>
          <w:rFonts w:ascii="华文仿宋" w:eastAsia="华文仿宋" w:hAnsi="华文仿宋"/>
          <w:sz w:val="24"/>
          <w:szCs w:val="24"/>
        </w:rPr>
        <w:t>感谢您购买新疆银行理财产品，请仔细阅读本《客户权益须知》，行使您在本业务项下的权益。</w:t>
      </w:r>
    </w:p>
    <w:tbl>
      <w:tblPr>
        <w:tblStyle w:val="a7"/>
        <w:tblW w:w="9962" w:type="dxa"/>
        <w:tblLayout w:type="fixed"/>
        <w:tblLook w:val="04A0"/>
      </w:tblPr>
      <w:tblGrid>
        <w:gridCol w:w="9962"/>
      </w:tblGrid>
      <w:tr w:rsidR="00F56831">
        <w:trPr>
          <w:trHeight w:val="277"/>
        </w:trPr>
        <w:tc>
          <w:tcPr>
            <w:tcW w:w="9962" w:type="dxa"/>
            <w:shd w:val="clear" w:color="auto" w:fill="3778F9"/>
          </w:tcPr>
          <w:p w:rsidR="00F56831" w:rsidRDefault="00DB3F34">
            <w:pPr>
              <w:spacing w:line="360" w:lineRule="exact"/>
              <w:jc w:val="center"/>
              <w:rPr>
                <w:rFonts w:ascii="华文仿宋" w:eastAsia="华文仿宋" w:hAnsi="华文仿宋"/>
                <w:sz w:val="24"/>
                <w:szCs w:val="24"/>
              </w:rPr>
            </w:pPr>
            <w:proofErr w:type="gramStart"/>
            <w:r>
              <w:rPr>
                <w:rFonts w:ascii="华文仿宋" w:eastAsia="华文仿宋" w:hAnsi="华文仿宋" w:hint="eastAsia"/>
                <w:b/>
                <w:sz w:val="24"/>
                <w:szCs w:val="24"/>
              </w:rPr>
              <w:t>一</w:t>
            </w:r>
            <w:proofErr w:type="gramEnd"/>
            <w:r>
              <w:rPr>
                <w:rFonts w:ascii="华文仿宋" w:eastAsia="华文仿宋" w:hAnsi="华文仿宋" w:hint="eastAsia"/>
                <w:b/>
                <w:sz w:val="24"/>
                <w:szCs w:val="24"/>
              </w:rPr>
              <w:t>.办理流程</w:t>
            </w:r>
          </w:p>
        </w:tc>
      </w:tr>
      <w:tr w:rsidR="00F56831" w:rsidTr="00976601">
        <w:tc>
          <w:tcPr>
            <w:tcW w:w="8505" w:type="dxa"/>
            <w:tcBorders>
              <w:bottom w:val="single" w:sz="4" w:space="0" w:color="000000" w:themeColor="text1"/>
            </w:tcBorders>
          </w:tcPr>
          <w:p w:rsidR="00F56831" w:rsidRDefault="00DB3F34">
            <w:pPr>
              <w:spacing w:line="360" w:lineRule="exact"/>
              <w:ind w:firstLineChars="200" w:firstLine="480"/>
              <w:rPr>
                <w:rFonts w:ascii="华文仿宋" w:eastAsia="华文仿宋" w:hAnsi="华文仿宋"/>
                <w:sz w:val="24"/>
                <w:szCs w:val="24"/>
              </w:rPr>
            </w:pPr>
            <w:r>
              <w:rPr>
                <w:rFonts w:ascii="华文仿宋" w:eastAsia="华文仿宋" w:hAnsi="华文仿宋"/>
                <w:b/>
                <w:sz w:val="24"/>
                <w:szCs w:val="24"/>
              </w:rPr>
              <w:t>1</w:t>
            </w:r>
            <w:r>
              <w:rPr>
                <w:rFonts w:ascii="华文仿宋" w:eastAsia="华文仿宋" w:hAnsi="华文仿宋" w:hint="eastAsia"/>
                <w:b/>
                <w:sz w:val="24"/>
                <w:szCs w:val="24"/>
              </w:rPr>
              <w:t>.开立借记卡、账户：</w:t>
            </w:r>
            <w:r>
              <w:rPr>
                <w:rFonts w:ascii="华文仿宋" w:eastAsia="华文仿宋" w:hAnsi="华文仿宋" w:hint="eastAsia"/>
                <w:sz w:val="24"/>
                <w:szCs w:val="24"/>
              </w:rPr>
              <w:t>在新疆银行办理理财业务，个人投资者请先开立借记卡，机构投资者请先开立可投资账户。</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b/>
                <w:sz w:val="24"/>
                <w:szCs w:val="24"/>
              </w:rPr>
              <w:t>2.指定清算账户：</w:t>
            </w:r>
            <w:r>
              <w:rPr>
                <w:rFonts w:ascii="华文仿宋" w:eastAsia="华文仿宋" w:hAnsi="华文仿宋" w:hint="eastAsia"/>
                <w:sz w:val="24"/>
                <w:szCs w:val="24"/>
              </w:rPr>
              <w:t>投资者应指定其在本行开立的借记卡或账户作为清算账户，用于理财本金及收益等款项的收付。</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b/>
                <w:sz w:val="24"/>
                <w:szCs w:val="24"/>
              </w:rPr>
              <w:t>3.签署相关协议：</w:t>
            </w:r>
            <w:r>
              <w:rPr>
                <w:rFonts w:ascii="华文仿宋" w:eastAsia="华文仿宋" w:hAnsi="华文仿宋" w:hint="eastAsia"/>
                <w:sz w:val="24"/>
                <w:szCs w:val="24"/>
              </w:rPr>
              <w:t>投资者应签署《新疆银行理财产品协议书》等相关协议文本，填写客户风险承受能力评估问卷。</w:t>
            </w:r>
          </w:p>
          <w:p w:rsidR="00F56831" w:rsidRDefault="00DB3F34">
            <w:pPr>
              <w:spacing w:line="360" w:lineRule="exact"/>
              <w:ind w:firstLineChars="200" w:firstLine="480"/>
              <w:rPr>
                <w:rFonts w:ascii="华文仿宋" w:eastAsia="华文仿宋" w:hAnsi="华文仿宋"/>
                <w:b/>
                <w:sz w:val="24"/>
                <w:szCs w:val="24"/>
              </w:rPr>
            </w:pPr>
            <w:r>
              <w:rPr>
                <w:rFonts w:ascii="华文仿宋" w:eastAsia="华文仿宋" w:hAnsi="华文仿宋" w:hint="eastAsia"/>
                <w:b/>
                <w:sz w:val="24"/>
                <w:szCs w:val="24"/>
              </w:rPr>
              <w:t>4.各交易渠道业务委托：</w:t>
            </w:r>
          </w:p>
          <w:p w:rsidR="00F56831" w:rsidRDefault="00DB3F34">
            <w:pPr>
              <w:spacing w:line="360" w:lineRule="exact"/>
              <w:ind w:firstLineChars="200" w:firstLine="480"/>
              <w:rPr>
                <w:rFonts w:ascii="华文仿宋" w:eastAsia="华文仿宋" w:hAnsi="华文仿宋"/>
                <w:sz w:val="24"/>
                <w:szCs w:val="24"/>
              </w:rPr>
            </w:pPr>
            <w:r>
              <w:rPr>
                <w:rFonts w:ascii="华文仿宋" w:eastAsia="华文仿宋" w:hAnsi="华文仿宋" w:hint="eastAsia"/>
                <w:sz w:val="24"/>
                <w:szCs w:val="24"/>
              </w:rPr>
              <w:t>（1）网点柜面</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①个人投资者需提供：</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持本人有效身份证原件及在我行开立的借记卡，到辖内营业网点办理。</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②机构投资者需提供：</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营业执照正本或副本加盖公章的复印件（事业单位法人、社会团体或其他组织提供的民政部门或主管部门颁发的注册登记证书加盖公章的复印件）、</w:t>
            </w:r>
            <w:r w:rsidR="00984B49">
              <w:rPr>
                <w:rFonts w:ascii="华文仿宋" w:eastAsia="华文仿宋" w:hAnsi="华文仿宋" w:hint="eastAsia"/>
                <w:sz w:val="24"/>
                <w:szCs w:val="24"/>
              </w:rPr>
              <w:t>法人身份证、</w:t>
            </w:r>
            <w:r>
              <w:rPr>
                <w:rFonts w:ascii="华文仿宋" w:eastAsia="华文仿宋" w:hAnsi="华文仿宋" w:hint="eastAsia"/>
                <w:sz w:val="24"/>
                <w:szCs w:val="24"/>
              </w:rPr>
              <w:t>理财业务授权委托书、经办人有效身份证件原件及复印件、预留印鉴等相关资料，机构投资者只能在其账户开户营业机构办理。</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（2）电子渠道</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电子渠道包括：网上银行、手机银行等。投资者开通新疆银行网上银行、手机银行等电子渠道后，即可在此</w:t>
            </w:r>
            <w:proofErr w:type="gramStart"/>
            <w:r>
              <w:rPr>
                <w:rFonts w:ascii="华文仿宋" w:eastAsia="华文仿宋" w:hAnsi="华文仿宋" w:hint="eastAsia"/>
                <w:sz w:val="24"/>
                <w:szCs w:val="24"/>
              </w:rPr>
              <w:t>类渠道</w:t>
            </w:r>
            <w:proofErr w:type="gramEnd"/>
            <w:r>
              <w:rPr>
                <w:rFonts w:ascii="华文仿宋" w:eastAsia="华文仿宋" w:hAnsi="华文仿宋" w:hint="eastAsia"/>
                <w:sz w:val="24"/>
                <w:szCs w:val="24"/>
              </w:rPr>
              <w:t>办理相关理财产品认购、申购、赎回、转让等业务。如通过适用的电子渠道签署理财相关协议，投资者勾选“我已阅读并同意《理财相关文档》，充分了解并知晓本产品风险，愿意承担相关风险”，视为协议签署有效。</w:t>
            </w:r>
          </w:p>
          <w:p w:rsidR="00F56831" w:rsidRDefault="00DB3F34">
            <w:pPr>
              <w:spacing w:line="360" w:lineRule="exact"/>
              <w:ind w:firstLine="555"/>
              <w:rPr>
                <w:rFonts w:ascii="华文仿宋" w:eastAsia="华文仿宋" w:hAnsi="华文仿宋"/>
                <w:sz w:val="24"/>
                <w:szCs w:val="24"/>
              </w:rPr>
            </w:pPr>
            <w:r>
              <w:rPr>
                <w:rFonts w:ascii="华文仿宋" w:eastAsia="华文仿宋" w:hAnsi="华文仿宋" w:hint="eastAsia"/>
                <w:b/>
                <w:sz w:val="24"/>
                <w:szCs w:val="24"/>
              </w:rPr>
              <w:t>5.查询：</w:t>
            </w:r>
            <w:r>
              <w:rPr>
                <w:rFonts w:ascii="华文仿宋" w:eastAsia="华文仿宋" w:hAnsi="华文仿宋" w:hint="eastAsia"/>
                <w:sz w:val="24"/>
                <w:szCs w:val="24"/>
              </w:rPr>
              <w:t>个人投资者凭本人有效证件及指定借记卡、机构投资者凭授权书及账户信息，可至网点查询理财产品持有情况、交易情况等。投资者还可</w:t>
            </w:r>
            <w:proofErr w:type="gramStart"/>
            <w:r>
              <w:rPr>
                <w:rFonts w:ascii="华文仿宋" w:eastAsia="华文仿宋" w:hAnsi="华文仿宋" w:hint="eastAsia"/>
                <w:sz w:val="24"/>
                <w:szCs w:val="24"/>
              </w:rPr>
              <w:t>至相应</w:t>
            </w:r>
            <w:proofErr w:type="gramEnd"/>
            <w:r>
              <w:rPr>
                <w:rFonts w:ascii="华文仿宋" w:eastAsia="华文仿宋" w:hAnsi="华文仿宋" w:hint="eastAsia"/>
                <w:sz w:val="24"/>
                <w:szCs w:val="24"/>
              </w:rPr>
              <w:t>电子渠道，查询理财产品持有情况、交易情况等。</w:t>
            </w:r>
          </w:p>
          <w:p w:rsidR="00F56831" w:rsidRDefault="00DB3F34">
            <w:pPr>
              <w:spacing w:line="360" w:lineRule="exact"/>
              <w:ind w:firstLine="555"/>
              <w:rPr>
                <w:rFonts w:ascii="华文仿宋" w:eastAsia="华文仿宋" w:hAnsi="华文仿宋"/>
                <w:b/>
                <w:sz w:val="24"/>
                <w:szCs w:val="24"/>
              </w:rPr>
            </w:pPr>
            <w:r>
              <w:rPr>
                <w:rFonts w:ascii="华文仿宋" w:eastAsia="华文仿宋" w:hAnsi="华文仿宋" w:hint="eastAsia"/>
                <w:b/>
                <w:sz w:val="24"/>
                <w:szCs w:val="24"/>
              </w:rPr>
              <w:t>6.投资者在此保证：</w:t>
            </w:r>
            <w:r>
              <w:rPr>
                <w:rFonts w:ascii="华文仿宋" w:eastAsia="华文仿宋" w:hAnsi="华文仿宋" w:hint="eastAsia"/>
                <w:sz w:val="24"/>
                <w:szCs w:val="24"/>
              </w:rPr>
              <w:t>理财资金是其拥有合法处分权的资金，将该资金用于购买理财产品不违反任何法律法规、裁决或协议，投资者已认真了解相关权利、义务和风险。</w:t>
            </w:r>
          </w:p>
        </w:tc>
      </w:tr>
      <w:tr w:rsidR="00F56831" w:rsidTr="00976601">
        <w:tc>
          <w:tcPr>
            <w:tcW w:w="8505" w:type="dxa"/>
            <w:shd w:val="clear" w:color="auto" w:fill="3778F9"/>
          </w:tcPr>
          <w:p w:rsidR="00F56831" w:rsidRDefault="00DB3F34">
            <w:pPr>
              <w:spacing w:line="360" w:lineRule="exact"/>
              <w:jc w:val="center"/>
              <w:rPr>
                <w:rFonts w:ascii="华文仿宋" w:eastAsia="华文仿宋" w:hAnsi="华文仿宋"/>
                <w:sz w:val="24"/>
                <w:szCs w:val="24"/>
              </w:rPr>
            </w:pPr>
            <w:r>
              <w:rPr>
                <w:rFonts w:ascii="华文仿宋" w:eastAsia="华文仿宋" w:hAnsi="华文仿宋" w:hint="eastAsia"/>
                <w:b/>
                <w:sz w:val="24"/>
                <w:szCs w:val="24"/>
              </w:rPr>
              <w:t>二.客户风险承受能力评估</w:t>
            </w:r>
          </w:p>
        </w:tc>
      </w:tr>
      <w:tr w:rsidR="00F56831" w:rsidTr="00976601">
        <w:tc>
          <w:tcPr>
            <w:tcW w:w="8505" w:type="dxa"/>
            <w:tcBorders>
              <w:bottom w:val="single" w:sz="4" w:space="0" w:color="000000" w:themeColor="text1"/>
            </w:tcBorders>
          </w:tcPr>
          <w:p w:rsidR="00F56831" w:rsidRDefault="00DB3F34">
            <w:pPr>
              <w:spacing w:line="360" w:lineRule="exact"/>
              <w:ind w:firstLine="480"/>
              <w:rPr>
                <w:rFonts w:ascii="华文仿宋" w:eastAsia="华文仿宋" w:hAnsi="华文仿宋"/>
                <w:sz w:val="24"/>
                <w:szCs w:val="24"/>
              </w:rPr>
            </w:pPr>
            <w:r>
              <w:rPr>
                <w:rFonts w:ascii="华文仿宋" w:eastAsia="华文仿宋" w:hAnsi="华文仿宋" w:hint="eastAsia"/>
                <w:sz w:val="24"/>
                <w:szCs w:val="24"/>
              </w:rPr>
              <w:t>一、个人客户</w:t>
            </w:r>
          </w:p>
          <w:p w:rsidR="00F56831" w:rsidRDefault="00DB3F34">
            <w:pPr>
              <w:spacing w:line="360" w:lineRule="exact"/>
              <w:ind w:firstLine="480"/>
              <w:rPr>
                <w:rFonts w:ascii="华文仿宋" w:eastAsia="华文仿宋" w:hAnsi="华文仿宋"/>
                <w:sz w:val="24"/>
                <w:szCs w:val="24"/>
              </w:rPr>
            </w:pPr>
            <w:r>
              <w:rPr>
                <w:rFonts w:ascii="华文仿宋" w:eastAsia="华文仿宋" w:hAnsi="华文仿宋" w:hint="eastAsia"/>
                <w:sz w:val="24"/>
                <w:szCs w:val="24"/>
              </w:rPr>
              <w:t xml:space="preserve"> 1.首次进行风险承受能力评估，须在银行网点进行。</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2.超过一年未进行风险承受能力评估，再次购买理财产品须在各营业网点或适用的电子渠道完成风险承受能力评估。</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3.在风险评估有效期内，如发生可能影响自身风险承受能力的情况时，投资者应主动要求</w:t>
            </w:r>
            <w:r>
              <w:rPr>
                <w:rFonts w:ascii="华文仿宋" w:eastAsia="华文仿宋" w:hAnsi="华文仿宋" w:hint="eastAsia"/>
                <w:sz w:val="24"/>
                <w:szCs w:val="24"/>
              </w:rPr>
              <w:lastRenderedPageBreak/>
              <w:t>重新评估；不准确、完整地填写问卷，导致风险评估不符合投资者实际情况，由此产生的后果由投资者自行承担。</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4. 客户风险承受能力评级分五级，分别为：A1（保守型）、A2（稳健型）、A3（平衡型）、A4（成长型）、A5（进取型）。关于客户风险评级等相关内容，详见《新疆银行个人客户风险承受能力评估问卷》。</w:t>
            </w:r>
          </w:p>
          <w:p w:rsidR="00F56831" w:rsidRDefault="00DB3F34">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二、机构客户</w:t>
            </w:r>
          </w:p>
          <w:p w:rsidR="00F56831" w:rsidRDefault="00DB3F34" w:rsidP="002B0E7F">
            <w:pPr>
              <w:spacing w:line="360" w:lineRule="exact"/>
              <w:ind w:firstLine="570"/>
              <w:rPr>
                <w:rFonts w:ascii="华文仿宋" w:eastAsia="华文仿宋" w:hAnsi="华文仿宋"/>
                <w:sz w:val="24"/>
                <w:szCs w:val="24"/>
              </w:rPr>
            </w:pPr>
            <w:bookmarkStart w:id="0" w:name="_GoBack"/>
            <w:bookmarkEnd w:id="0"/>
            <w:r>
              <w:rPr>
                <w:rFonts w:ascii="华文仿宋" w:eastAsia="华文仿宋" w:hAnsi="华文仿宋" w:hint="eastAsia"/>
                <w:sz w:val="24"/>
                <w:szCs w:val="24"/>
              </w:rPr>
              <w:t>机构客户请根据自身的</w:t>
            </w:r>
            <w:r w:rsidR="002B0E7F" w:rsidRPr="002B0E7F">
              <w:rPr>
                <w:rFonts w:ascii="华文仿宋" w:eastAsia="华文仿宋" w:hAnsi="华文仿宋"/>
                <w:sz w:val="24"/>
                <w:szCs w:val="24"/>
              </w:rPr>
              <w:t>财务状况、投资经验、投资目的、收益预期、风险偏好、流动性要求、风险认识以及风险损失承受程度等</w:t>
            </w:r>
            <w:r>
              <w:rPr>
                <w:rFonts w:ascii="华文仿宋" w:eastAsia="华文仿宋" w:hAnsi="华文仿宋" w:hint="eastAsia"/>
                <w:sz w:val="24"/>
                <w:szCs w:val="24"/>
              </w:rPr>
              <w:t>及其他因素综合</w:t>
            </w:r>
            <w:proofErr w:type="gramStart"/>
            <w:r>
              <w:rPr>
                <w:rFonts w:ascii="华文仿宋" w:eastAsia="华文仿宋" w:hAnsi="华文仿宋" w:hint="eastAsia"/>
                <w:sz w:val="24"/>
                <w:szCs w:val="24"/>
              </w:rPr>
              <w:t>考量</w:t>
            </w:r>
            <w:proofErr w:type="gramEnd"/>
            <w:r>
              <w:rPr>
                <w:rFonts w:ascii="华文仿宋" w:eastAsia="华文仿宋" w:hAnsi="华文仿宋" w:hint="eastAsia"/>
                <w:sz w:val="24"/>
                <w:szCs w:val="24"/>
              </w:rPr>
              <w:t>理财的投资风险及自身的风险承受能力，本行不再对其进行风险承受能力评估。</w:t>
            </w:r>
          </w:p>
        </w:tc>
      </w:tr>
      <w:tr w:rsidR="00F56831" w:rsidTr="00976601">
        <w:tc>
          <w:tcPr>
            <w:tcW w:w="8505" w:type="dxa"/>
            <w:shd w:val="clear" w:color="auto" w:fill="3778F9"/>
          </w:tcPr>
          <w:p w:rsidR="00F56831" w:rsidRDefault="00DB3F34">
            <w:pPr>
              <w:spacing w:line="360" w:lineRule="exact"/>
              <w:jc w:val="center"/>
              <w:rPr>
                <w:rFonts w:ascii="华文仿宋" w:eastAsia="华文仿宋" w:hAnsi="华文仿宋"/>
                <w:sz w:val="24"/>
                <w:szCs w:val="24"/>
              </w:rPr>
            </w:pPr>
            <w:r>
              <w:rPr>
                <w:rFonts w:ascii="华文仿宋" w:eastAsia="华文仿宋" w:hAnsi="华文仿宋" w:hint="eastAsia"/>
                <w:b/>
                <w:sz w:val="24"/>
                <w:szCs w:val="24"/>
              </w:rPr>
              <w:lastRenderedPageBreak/>
              <w:t>三.产品风险评级</w:t>
            </w:r>
          </w:p>
        </w:tc>
      </w:tr>
      <w:tr w:rsidR="00F56831" w:rsidTr="00976601">
        <w:tc>
          <w:tcPr>
            <w:tcW w:w="8505" w:type="dxa"/>
            <w:tcBorders>
              <w:bottom w:val="single" w:sz="4" w:space="0" w:color="000000" w:themeColor="text1"/>
            </w:tcBorders>
          </w:tcPr>
          <w:p w:rsidR="00F56831" w:rsidRDefault="00DB3F34">
            <w:pPr>
              <w:pStyle w:val="1"/>
              <w:spacing w:before="0" w:after="0" w:line="360" w:lineRule="exact"/>
              <w:ind w:firstLineChars="200" w:firstLine="480"/>
              <w:rPr>
                <w:rFonts w:ascii="华文仿宋" w:eastAsia="华文仿宋" w:hAnsi="华文仿宋"/>
                <w:b w:val="0"/>
                <w:bCs w:val="0"/>
                <w:kern w:val="2"/>
                <w:sz w:val="24"/>
                <w:szCs w:val="24"/>
              </w:rPr>
            </w:pPr>
            <w:r>
              <w:rPr>
                <w:rFonts w:ascii="华文仿宋" w:eastAsia="华文仿宋" w:hAnsi="华文仿宋" w:hint="eastAsia"/>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W w:w="9634" w:type="dxa"/>
              <w:tblLayout w:type="fixed"/>
              <w:tblCellMar>
                <w:top w:w="15" w:type="dxa"/>
                <w:bottom w:w="15" w:type="dxa"/>
              </w:tblCellMar>
              <w:tblLook w:val="04A0"/>
            </w:tblPr>
            <w:tblGrid>
              <w:gridCol w:w="1413"/>
              <w:gridCol w:w="1417"/>
              <w:gridCol w:w="4820"/>
              <w:gridCol w:w="1984"/>
            </w:tblGrid>
            <w:tr w:rsidR="00F56831" w:rsidTr="005E09D1">
              <w:trPr>
                <w:trHeight w:val="544"/>
              </w:trPr>
              <w:tc>
                <w:tcPr>
                  <w:tcW w:w="1413"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产品风险标识</w:t>
                  </w:r>
                </w:p>
              </w:tc>
              <w:tc>
                <w:tcPr>
                  <w:tcW w:w="1417"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产品风险评级</w:t>
                  </w:r>
                </w:p>
              </w:tc>
              <w:tc>
                <w:tcPr>
                  <w:tcW w:w="4820"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产品风险及收益特征描述</w:t>
                  </w:r>
                </w:p>
              </w:tc>
              <w:tc>
                <w:tcPr>
                  <w:tcW w:w="1984"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适用风险评级客群</w:t>
                  </w:r>
                </w:p>
              </w:tc>
            </w:tr>
            <w:tr w:rsidR="00F56831" w:rsidTr="005E09D1">
              <w:trPr>
                <w:trHeight w:val="665"/>
              </w:trPr>
              <w:tc>
                <w:tcPr>
                  <w:tcW w:w="1413"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R1</w:t>
                  </w:r>
                </w:p>
              </w:tc>
              <w:tc>
                <w:tcPr>
                  <w:tcW w:w="1417"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低风险</w:t>
                  </w:r>
                </w:p>
              </w:tc>
              <w:tc>
                <w:tcPr>
                  <w:tcW w:w="4820"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产品总体风险程度低，收益波动小，产品本金安全性高，收益不能实现的可能性很小，产品本金出现损失的可能性小。</w:t>
                  </w:r>
                </w:p>
              </w:tc>
              <w:tc>
                <w:tcPr>
                  <w:tcW w:w="1984"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保守型、稳健型</w:t>
                  </w:r>
                </w:p>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平衡型、成长型</w:t>
                  </w:r>
                </w:p>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r w:rsidR="00F56831" w:rsidTr="005E09D1">
              <w:trPr>
                <w:trHeight w:val="908"/>
              </w:trPr>
              <w:tc>
                <w:tcPr>
                  <w:tcW w:w="1413"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R2</w:t>
                  </w:r>
                </w:p>
              </w:tc>
              <w:tc>
                <w:tcPr>
                  <w:tcW w:w="1417"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中低风险</w:t>
                  </w:r>
                </w:p>
              </w:tc>
              <w:tc>
                <w:tcPr>
                  <w:tcW w:w="4820"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稳健型、平衡型</w:t>
                  </w:r>
                </w:p>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成长型、进取型</w:t>
                  </w:r>
                </w:p>
              </w:tc>
            </w:tr>
            <w:tr w:rsidR="00F56831" w:rsidTr="005E09D1">
              <w:trPr>
                <w:trHeight w:val="616"/>
              </w:trPr>
              <w:tc>
                <w:tcPr>
                  <w:tcW w:w="1413"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R3</w:t>
                  </w:r>
                </w:p>
              </w:tc>
              <w:tc>
                <w:tcPr>
                  <w:tcW w:w="1417"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中等风险</w:t>
                  </w:r>
                </w:p>
              </w:tc>
              <w:tc>
                <w:tcPr>
                  <w:tcW w:w="4820"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产品总体风险程度适中，收益存在一定的波动，产品本金出现损失的可能性不容忽视。</w:t>
                  </w:r>
                </w:p>
              </w:tc>
              <w:tc>
                <w:tcPr>
                  <w:tcW w:w="1984"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平衡型、成长型</w:t>
                  </w:r>
                </w:p>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r w:rsidR="00F56831" w:rsidTr="005E09D1">
              <w:trPr>
                <w:trHeight w:val="554"/>
              </w:trPr>
              <w:tc>
                <w:tcPr>
                  <w:tcW w:w="1413"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R4</w:t>
                  </w:r>
                </w:p>
              </w:tc>
              <w:tc>
                <w:tcPr>
                  <w:tcW w:w="1417"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较高风险</w:t>
                  </w:r>
                </w:p>
              </w:tc>
              <w:tc>
                <w:tcPr>
                  <w:tcW w:w="4820"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产品总体风险程度较高，收益波动较明显，产品本金出现损失的可能性高。</w:t>
                  </w:r>
                </w:p>
              </w:tc>
              <w:tc>
                <w:tcPr>
                  <w:tcW w:w="1984"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成长型、进取型</w:t>
                  </w:r>
                </w:p>
              </w:tc>
            </w:tr>
            <w:tr w:rsidR="00F56831" w:rsidTr="005E09D1">
              <w:trPr>
                <w:trHeight w:val="500"/>
              </w:trPr>
              <w:tc>
                <w:tcPr>
                  <w:tcW w:w="1413"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R5</w:t>
                  </w:r>
                </w:p>
              </w:tc>
              <w:tc>
                <w:tcPr>
                  <w:tcW w:w="1417"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高风险</w:t>
                  </w:r>
                </w:p>
              </w:tc>
              <w:tc>
                <w:tcPr>
                  <w:tcW w:w="4820" w:type="dxa"/>
                  <w:tcBorders>
                    <w:top w:val="single" w:sz="4" w:space="0" w:color="000000"/>
                    <w:left w:val="single" w:sz="4" w:space="0" w:color="000000"/>
                    <w:bottom w:val="single" w:sz="4" w:space="0" w:color="000000"/>
                    <w:right w:val="single" w:sz="4" w:space="0" w:color="000000"/>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产品总体风险程度高，收益波动明显，产品本金出现损失的可能性很高，产品本金出现全部损失的可能性不容忽视。</w:t>
                  </w:r>
                </w:p>
              </w:tc>
              <w:tc>
                <w:tcPr>
                  <w:tcW w:w="1984" w:type="dxa"/>
                  <w:tcBorders>
                    <w:top w:val="single" w:sz="4" w:space="0" w:color="auto"/>
                    <w:left w:val="single" w:sz="4" w:space="0" w:color="auto"/>
                    <w:bottom w:val="single" w:sz="4" w:space="0" w:color="auto"/>
                    <w:right w:val="single" w:sz="4" w:space="0" w:color="auto"/>
                  </w:tcBorders>
                  <w:vAlign w:val="center"/>
                </w:tcPr>
                <w:p w:rsidR="00F56831" w:rsidRDefault="00DB3F34">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bl>
          <w:p w:rsidR="00F56831" w:rsidRDefault="00F56831">
            <w:pPr>
              <w:ind w:firstLine="570"/>
              <w:rPr>
                <w:rFonts w:ascii="华文仿宋" w:eastAsia="华文仿宋" w:hAnsi="华文仿宋"/>
                <w:sz w:val="24"/>
                <w:szCs w:val="24"/>
              </w:rPr>
            </w:pPr>
          </w:p>
        </w:tc>
      </w:tr>
      <w:tr w:rsidR="00F56831" w:rsidTr="00976601">
        <w:tc>
          <w:tcPr>
            <w:tcW w:w="8505" w:type="dxa"/>
            <w:shd w:val="clear" w:color="auto" w:fill="3778F9"/>
          </w:tcPr>
          <w:p w:rsidR="00F56831" w:rsidRDefault="00DB3F34">
            <w:pPr>
              <w:spacing w:line="360" w:lineRule="exact"/>
              <w:jc w:val="center"/>
              <w:rPr>
                <w:rFonts w:ascii="华文仿宋" w:eastAsia="华文仿宋" w:hAnsi="华文仿宋"/>
                <w:sz w:val="24"/>
                <w:szCs w:val="24"/>
              </w:rPr>
            </w:pPr>
            <w:r>
              <w:rPr>
                <w:rFonts w:ascii="华文仿宋" w:eastAsia="华文仿宋" w:hAnsi="华文仿宋" w:hint="eastAsia"/>
                <w:b/>
                <w:sz w:val="24"/>
                <w:szCs w:val="24"/>
              </w:rPr>
              <w:t>四.信息披露</w:t>
            </w:r>
          </w:p>
        </w:tc>
      </w:tr>
      <w:tr w:rsidR="00F56831" w:rsidTr="00BB68FA">
        <w:trPr>
          <w:trHeight w:val="3515"/>
        </w:trPr>
        <w:tc>
          <w:tcPr>
            <w:tcW w:w="8505" w:type="dxa"/>
          </w:tcPr>
          <w:p w:rsidR="00F56831" w:rsidRDefault="00DB3F34">
            <w:pPr>
              <w:spacing w:line="360" w:lineRule="exact"/>
              <w:rPr>
                <w:rFonts w:ascii="华文仿宋" w:eastAsia="华文仿宋" w:hAnsi="华文仿宋"/>
                <w:sz w:val="24"/>
                <w:szCs w:val="24"/>
              </w:rPr>
            </w:pPr>
            <w:r>
              <w:rPr>
                <w:rFonts w:ascii="华文仿宋" w:eastAsia="华文仿宋" w:hAnsi="华文仿宋" w:hint="eastAsia"/>
                <w:sz w:val="24"/>
                <w:szCs w:val="24"/>
              </w:rPr>
              <w:t xml:space="preserve">    1.新疆银行将通过门户网站或营业网点进行信息披露，具体以产品说明书的约定为准。</w:t>
            </w:r>
          </w:p>
          <w:p w:rsidR="00F56831" w:rsidRDefault="00DB3F34">
            <w:pPr>
              <w:spacing w:line="360" w:lineRule="exact"/>
              <w:rPr>
                <w:rFonts w:ascii="华文仿宋" w:eastAsia="华文仿宋" w:hAnsi="华文仿宋"/>
                <w:sz w:val="24"/>
                <w:szCs w:val="24"/>
              </w:rPr>
            </w:pPr>
            <w:r>
              <w:rPr>
                <w:rFonts w:ascii="华文仿宋" w:eastAsia="华文仿宋" w:hAnsi="华文仿宋" w:hint="eastAsia"/>
                <w:sz w:val="24"/>
                <w:szCs w:val="24"/>
              </w:rPr>
              <w:t xml:space="preserve">    2.投资者</w:t>
            </w:r>
            <w:r>
              <w:rPr>
                <w:rFonts w:ascii="华文仿宋" w:eastAsia="华文仿宋" w:hAnsi="华文仿宋"/>
                <w:sz w:val="24"/>
                <w:szCs w:val="24"/>
              </w:rPr>
              <w:t>对</w:t>
            </w:r>
            <w:r>
              <w:rPr>
                <w:rFonts w:ascii="华文仿宋" w:eastAsia="华文仿宋" w:hAnsi="华文仿宋" w:hint="eastAsia"/>
                <w:sz w:val="24"/>
                <w:szCs w:val="24"/>
              </w:rPr>
              <w:t>银行</w:t>
            </w:r>
            <w:r>
              <w:rPr>
                <w:rFonts w:ascii="华文仿宋" w:eastAsia="华文仿宋" w:hAnsi="华文仿宋"/>
                <w:sz w:val="24"/>
                <w:szCs w:val="24"/>
              </w:rPr>
              <w:t>理财产品和服务有任何意见</w:t>
            </w:r>
            <w:r>
              <w:rPr>
                <w:rFonts w:ascii="华文仿宋" w:eastAsia="华文仿宋" w:hAnsi="华文仿宋" w:hint="eastAsia"/>
                <w:sz w:val="24"/>
                <w:szCs w:val="24"/>
              </w:rPr>
              <w:t>或</w:t>
            </w:r>
            <w:r>
              <w:rPr>
                <w:rFonts w:ascii="华文仿宋" w:eastAsia="华文仿宋" w:hAnsi="华文仿宋"/>
                <w:sz w:val="24"/>
                <w:szCs w:val="24"/>
              </w:rPr>
              <w:t>建议，可通过新疆银行营业网点工作人员、96559</w:t>
            </w:r>
            <w:r>
              <w:rPr>
                <w:rFonts w:ascii="华文仿宋" w:eastAsia="华文仿宋" w:hAnsi="华文仿宋" w:hint="eastAsia"/>
                <w:sz w:val="24"/>
                <w:szCs w:val="24"/>
              </w:rPr>
              <w:t>客服专线</w:t>
            </w:r>
            <w:r>
              <w:rPr>
                <w:rFonts w:ascii="华文仿宋" w:eastAsia="华文仿宋" w:hAnsi="华文仿宋"/>
                <w:sz w:val="24"/>
                <w:szCs w:val="24"/>
              </w:rPr>
              <w:t>进行</w:t>
            </w:r>
            <w:r>
              <w:rPr>
                <w:rFonts w:ascii="华文仿宋" w:eastAsia="华文仿宋" w:hAnsi="华文仿宋" w:hint="eastAsia"/>
                <w:sz w:val="24"/>
                <w:szCs w:val="24"/>
              </w:rPr>
              <w:t>投诉或</w:t>
            </w:r>
            <w:r>
              <w:rPr>
                <w:rFonts w:ascii="华文仿宋" w:eastAsia="华文仿宋" w:hAnsi="华文仿宋"/>
                <w:sz w:val="24"/>
                <w:szCs w:val="24"/>
              </w:rPr>
              <w:t>反映，</w:t>
            </w:r>
            <w:r>
              <w:rPr>
                <w:rFonts w:ascii="华文仿宋" w:eastAsia="华文仿宋" w:hAnsi="华文仿宋" w:hint="eastAsia"/>
                <w:sz w:val="24"/>
                <w:szCs w:val="24"/>
              </w:rPr>
              <w:t>银行将由专人记录并处理您的意见或建议</w:t>
            </w:r>
            <w:r>
              <w:rPr>
                <w:rFonts w:ascii="华文仿宋" w:eastAsia="华文仿宋" w:hAnsi="华文仿宋"/>
                <w:sz w:val="24"/>
                <w:szCs w:val="24"/>
              </w:rPr>
              <w:t>。</w:t>
            </w:r>
          </w:p>
          <w:p w:rsidR="00F56831" w:rsidRDefault="00DB3F34" w:rsidP="00431B6F">
            <w:pPr>
              <w:spacing w:line="360" w:lineRule="exact"/>
              <w:ind w:firstLine="573"/>
              <w:rPr>
                <w:rFonts w:ascii="华文仿宋" w:eastAsia="华文仿宋" w:hAnsi="华文仿宋"/>
                <w:sz w:val="24"/>
                <w:szCs w:val="24"/>
              </w:rPr>
            </w:pPr>
            <w:r>
              <w:rPr>
                <w:rFonts w:ascii="华文仿宋" w:eastAsia="华文仿宋" w:hAnsi="华文仿宋" w:hint="eastAsia"/>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1）法律法规要求披露的；（2）司法部门或监管机构依法要求披露的；（3）银行在本产品说明书项下，为履行义务或行使权利需要向银行的外部专业顾问机构披露和允许银行的外部专业顾问机构在保密基础上使用的；（4）投资者另行明确同意或授权银行进行披露的。</w:t>
            </w:r>
            <w:r w:rsidR="00431B6F">
              <w:rPr>
                <w:rFonts w:ascii="华文仿宋" w:eastAsia="华文仿宋" w:hAnsi="华文仿宋" w:hint="eastAsia"/>
                <w:sz w:val="24"/>
                <w:szCs w:val="24"/>
              </w:rPr>
              <w:t>（5）</w:t>
            </w:r>
            <w:r>
              <w:rPr>
                <w:rFonts w:ascii="华文仿宋" w:eastAsia="华文仿宋" w:hAnsi="华文仿宋" w:hint="eastAsia"/>
                <w:sz w:val="24"/>
                <w:szCs w:val="24"/>
              </w:rPr>
              <w:t>银行根据适用的法律法规、监管规定对投资者及持有的理财产品的相关信息进行登记，并传输给银行业理财登记托管中心。</w:t>
            </w:r>
          </w:p>
        </w:tc>
      </w:tr>
    </w:tbl>
    <w:p w:rsidR="00F56831" w:rsidRDefault="00F56831">
      <w:pPr>
        <w:rPr>
          <w:rFonts w:ascii="华文仿宋" w:eastAsia="华文仿宋" w:hAnsi="华文仿宋"/>
          <w:sz w:val="24"/>
          <w:szCs w:val="24"/>
        </w:rPr>
      </w:pPr>
    </w:p>
    <w:sectPr w:rsidR="00F56831" w:rsidSect="00F56831">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C77" w:rsidRDefault="009C3C77" w:rsidP="00F56831">
      <w:r>
        <w:separator/>
      </w:r>
    </w:p>
  </w:endnote>
  <w:endnote w:type="continuationSeparator" w:id="0">
    <w:p w:rsidR="009C3C77" w:rsidRDefault="009C3C77" w:rsidP="00F56831">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altName w:val="Arial Unicode MS"/>
    <w:charset w:val="86"/>
    <w:family w:val="auto"/>
    <w:pitch w:val="default"/>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7B0" w:rsidRDefault="00B377B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7B0" w:rsidRDefault="00B377B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7B0" w:rsidRDefault="00B377B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C77" w:rsidRDefault="009C3C77" w:rsidP="00F56831">
      <w:r>
        <w:separator/>
      </w:r>
    </w:p>
  </w:footnote>
  <w:footnote w:type="continuationSeparator" w:id="0">
    <w:p w:rsidR="009C3C77" w:rsidRDefault="009C3C77" w:rsidP="00F568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7B0" w:rsidRDefault="00B377B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831" w:rsidRDefault="00F56831">
    <w:pPr>
      <w:pStyle w:val="a5"/>
      <w:pBdr>
        <w:bottom w:val="none" w:sz="0" w:space="0" w:color="auto"/>
      </w:pBdr>
      <w:jc w:val="both"/>
    </w:pPr>
  </w:p>
  <w:p w:rsidR="00F56831" w:rsidRDefault="00DB3F34">
    <w:pPr>
      <w:pStyle w:val="a5"/>
      <w:pBdr>
        <w:bottom w:val="none" w:sz="0" w:space="0" w:color="auto"/>
      </w:pBdr>
    </w:pPr>
    <w:r>
      <w:rPr>
        <w:noProof/>
      </w:rP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7B0" w:rsidRDefault="00B377B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7E24"/>
    <w:rsid w:val="00012FF8"/>
    <w:rsid w:val="000222A6"/>
    <w:rsid w:val="0002772E"/>
    <w:rsid w:val="0003542E"/>
    <w:rsid w:val="00056AD8"/>
    <w:rsid w:val="000652A5"/>
    <w:rsid w:val="00072221"/>
    <w:rsid w:val="00076819"/>
    <w:rsid w:val="0007764D"/>
    <w:rsid w:val="00081AC3"/>
    <w:rsid w:val="0008504E"/>
    <w:rsid w:val="000A2D5E"/>
    <w:rsid w:val="000B135A"/>
    <w:rsid w:val="000B5C18"/>
    <w:rsid w:val="000B7046"/>
    <w:rsid w:val="000C1B5B"/>
    <w:rsid w:val="000E7ED4"/>
    <w:rsid w:val="000F7107"/>
    <w:rsid w:val="001014CC"/>
    <w:rsid w:val="00145743"/>
    <w:rsid w:val="0014628E"/>
    <w:rsid w:val="0017230E"/>
    <w:rsid w:val="00194A7C"/>
    <w:rsid w:val="001C242D"/>
    <w:rsid w:val="001C25D7"/>
    <w:rsid w:val="001C7A93"/>
    <w:rsid w:val="001D2211"/>
    <w:rsid w:val="001D7E24"/>
    <w:rsid w:val="001E28AB"/>
    <w:rsid w:val="00205A78"/>
    <w:rsid w:val="00220554"/>
    <w:rsid w:val="00244FD6"/>
    <w:rsid w:val="00246D80"/>
    <w:rsid w:val="00250964"/>
    <w:rsid w:val="002611D6"/>
    <w:rsid w:val="00263FD8"/>
    <w:rsid w:val="00273AE8"/>
    <w:rsid w:val="00277F5C"/>
    <w:rsid w:val="002931C0"/>
    <w:rsid w:val="002A170E"/>
    <w:rsid w:val="002B0384"/>
    <w:rsid w:val="002B0E7F"/>
    <w:rsid w:val="002C070C"/>
    <w:rsid w:val="002C10A2"/>
    <w:rsid w:val="002E2716"/>
    <w:rsid w:val="002F615F"/>
    <w:rsid w:val="0032031B"/>
    <w:rsid w:val="00324DF6"/>
    <w:rsid w:val="003273B7"/>
    <w:rsid w:val="00332D20"/>
    <w:rsid w:val="00342565"/>
    <w:rsid w:val="00347E28"/>
    <w:rsid w:val="00363684"/>
    <w:rsid w:val="00367342"/>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31B6F"/>
    <w:rsid w:val="00450FEE"/>
    <w:rsid w:val="00451483"/>
    <w:rsid w:val="00451847"/>
    <w:rsid w:val="004676F3"/>
    <w:rsid w:val="004A6D84"/>
    <w:rsid w:val="004D651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D737E"/>
    <w:rsid w:val="005E09D1"/>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44D85"/>
    <w:rsid w:val="00754790"/>
    <w:rsid w:val="00774C28"/>
    <w:rsid w:val="00781DED"/>
    <w:rsid w:val="0079561F"/>
    <w:rsid w:val="007A227E"/>
    <w:rsid w:val="007A3EF9"/>
    <w:rsid w:val="007F05E9"/>
    <w:rsid w:val="007F383E"/>
    <w:rsid w:val="007F6DF7"/>
    <w:rsid w:val="008136C0"/>
    <w:rsid w:val="00820E30"/>
    <w:rsid w:val="008345AE"/>
    <w:rsid w:val="008367FF"/>
    <w:rsid w:val="0084048C"/>
    <w:rsid w:val="00843C00"/>
    <w:rsid w:val="00877138"/>
    <w:rsid w:val="00882034"/>
    <w:rsid w:val="008B01BE"/>
    <w:rsid w:val="008B53A5"/>
    <w:rsid w:val="008C1325"/>
    <w:rsid w:val="008C6E94"/>
    <w:rsid w:val="008D6BC3"/>
    <w:rsid w:val="008F6C6A"/>
    <w:rsid w:val="009254B1"/>
    <w:rsid w:val="00946F6D"/>
    <w:rsid w:val="00954EE0"/>
    <w:rsid w:val="00956A22"/>
    <w:rsid w:val="00957E01"/>
    <w:rsid w:val="0096184E"/>
    <w:rsid w:val="00976601"/>
    <w:rsid w:val="00981065"/>
    <w:rsid w:val="00984B49"/>
    <w:rsid w:val="00985383"/>
    <w:rsid w:val="00994177"/>
    <w:rsid w:val="00995A61"/>
    <w:rsid w:val="00997CBC"/>
    <w:rsid w:val="009C1523"/>
    <w:rsid w:val="009C3C77"/>
    <w:rsid w:val="009C68DB"/>
    <w:rsid w:val="009F4F03"/>
    <w:rsid w:val="00A00050"/>
    <w:rsid w:val="00A23F5A"/>
    <w:rsid w:val="00A30627"/>
    <w:rsid w:val="00A33C46"/>
    <w:rsid w:val="00A43829"/>
    <w:rsid w:val="00A5065B"/>
    <w:rsid w:val="00A542C6"/>
    <w:rsid w:val="00A561EC"/>
    <w:rsid w:val="00A6759C"/>
    <w:rsid w:val="00A7586E"/>
    <w:rsid w:val="00AA070B"/>
    <w:rsid w:val="00AA2740"/>
    <w:rsid w:val="00AB65BC"/>
    <w:rsid w:val="00AD52D7"/>
    <w:rsid w:val="00AD6BC4"/>
    <w:rsid w:val="00AE4C82"/>
    <w:rsid w:val="00B12D6A"/>
    <w:rsid w:val="00B1372A"/>
    <w:rsid w:val="00B377B0"/>
    <w:rsid w:val="00B43827"/>
    <w:rsid w:val="00B538FD"/>
    <w:rsid w:val="00B53A71"/>
    <w:rsid w:val="00B54D3B"/>
    <w:rsid w:val="00B65616"/>
    <w:rsid w:val="00B6648B"/>
    <w:rsid w:val="00B837D1"/>
    <w:rsid w:val="00B8644A"/>
    <w:rsid w:val="00B96369"/>
    <w:rsid w:val="00BA59E2"/>
    <w:rsid w:val="00BA5C8A"/>
    <w:rsid w:val="00BB68F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16C05"/>
    <w:rsid w:val="00D27BEF"/>
    <w:rsid w:val="00D33E37"/>
    <w:rsid w:val="00D369A8"/>
    <w:rsid w:val="00D4589A"/>
    <w:rsid w:val="00D678B9"/>
    <w:rsid w:val="00D771BA"/>
    <w:rsid w:val="00D82A67"/>
    <w:rsid w:val="00D90A0E"/>
    <w:rsid w:val="00DB0B4B"/>
    <w:rsid w:val="00DB3F34"/>
    <w:rsid w:val="00DB6513"/>
    <w:rsid w:val="00DB6EBA"/>
    <w:rsid w:val="00DB7B49"/>
    <w:rsid w:val="00DC34D0"/>
    <w:rsid w:val="00DD05E0"/>
    <w:rsid w:val="00DE78F8"/>
    <w:rsid w:val="00E06412"/>
    <w:rsid w:val="00E10DDA"/>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D7796"/>
    <w:rsid w:val="00EE5618"/>
    <w:rsid w:val="00EF565B"/>
    <w:rsid w:val="00F04908"/>
    <w:rsid w:val="00F103C3"/>
    <w:rsid w:val="00F26996"/>
    <w:rsid w:val="00F41CB2"/>
    <w:rsid w:val="00F4428C"/>
    <w:rsid w:val="00F44982"/>
    <w:rsid w:val="00F50347"/>
    <w:rsid w:val="00F56831"/>
    <w:rsid w:val="00F62692"/>
    <w:rsid w:val="00F66135"/>
    <w:rsid w:val="00F6717D"/>
    <w:rsid w:val="00F703BA"/>
    <w:rsid w:val="00F73747"/>
    <w:rsid w:val="00F75F40"/>
    <w:rsid w:val="00F82B16"/>
    <w:rsid w:val="00F82C1D"/>
    <w:rsid w:val="00F8715E"/>
    <w:rsid w:val="00FA0FD3"/>
    <w:rsid w:val="00FA23BD"/>
    <w:rsid w:val="00FA2959"/>
    <w:rsid w:val="00FA594D"/>
    <w:rsid w:val="00FA6823"/>
    <w:rsid w:val="00FA6A7B"/>
    <w:rsid w:val="00FB17B1"/>
    <w:rsid w:val="00FC1485"/>
    <w:rsid w:val="00FD4A98"/>
    <w:rsid w:val="00FE23D6"/>
    <w:rsid w:val="00FF50D5"/>
    <w:rsid w:val="142F3270"/>
    <w:rsid w:val="170A7CF5"/>
    <w:rsid w:val="35A9467C"/>
    <w:rsid w:val="44DB0056"/>
    <w:rsid w:val="65884D79"/>
    <w:rsid w:val="682863FC"/>
    <w:rsid w:val="6B4C2C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nhideWhenUsed="0" w:qFormat="1"/>
    <w:lsdException w:name="Emphasis" w:semiHidden="0" w:uiPriority="20" w:unhideWhenUsed="0" w:qFormat="1"/>
    <w:lsdException w:name="Normal Table" w:qFormat="1"/>
    <w:lsdException w:name="Balloon Text"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831"/>
    <w:pPr>
      <w:widowControl w:val="0"/>
      <w:jc w:val="both"/>
    </w:pPr>
    <w:rPr>
      <w:kern w:val="2"/>
      <w:sz w:val="21"/>
      <w:szCs w:val="22"/>
    </w:rPr>
  </w:style>
  <w:style w:type="paragraph" w:styleId="1">
    <w:name w:val="heading 1"/>
    <w:basedOn w:val="a"/>
    <w:next w:val="a"/>
    <w:uiPriority w:val="9"/>
    <w:qFormat/>
    <w:rsid w:val="00F56831"/>
    <w:p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56831"/>
    <w:rPr>
      <w:sz w:val="18"/>
      <w:szCs w:val="18"/>
    </w:rPr>
  </w:style>
  <w:style w:type="paragraph" w:styleId="a4">
    <w:name w:val="footer"/>
    <w:basedOn w:val="a"/>
    <w:link w:val="Char0"/>
    <w:uiPriority w:val="99"/>
    <w:unhideWhenUsed/>
    <w:qFormat/>
    <w:rsid w:val="00F5683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F56831"/>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99"/>
    <w:qFormat/>
    <w:rsid w:val="00F56831"/>
    <w:rPr>
      <w:rFonts w:cs="Times New Roman"/>
      <w:b/>
      <w:bCs/>
    </w:rPr>
  </w:style>
  <w:style w:type="table" w:styleId="a7">
    <w:name w:val="Table Grid"/>
    <w:basedOn w:val="a1"/>
    <w:uiPriority w:val="39"/>
    <w:rsid w:val="00F5683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sid w:val="00F56831"/>
    <w:rPr>
      <w:sz w:val="18"/>
      <w:szCs w:val="18"/>
    </w:rPr>
  </w:style>
  <w:style w:type="character" w:customStyle="1" w:styleId="Char1">
    <w:name w:val="页眉 Char"/>
    <w:basedOn w:val="a0"/>
    <w:link w:val="a5"/>
    <w:uiPriority w:val="99"/>
    <w:qFormat/>
    <w:rsid w:val="00F56831"/>
    <w:rPr>
      <w:sz w:val="18"/>
      <w:szCs w:val="18"/>
    </w:rPr>
  </w:style>
  <w:style w:type="character" w:customStyle="1" w:styleId="Char0">
    <w:name w:val="页脚 Char"/>
    <w:basedOn w:val="a0"/>
    <w:link w:val="a4"/>
    <w:uiPriority w:val="99"/>
    <w:qFormat/>
    <w:rsid w:val="00F5683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01144B-1965-4163-8154-CFE4C20EF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312</Words>
  <Characters>1781</Characters>
  <Application>Microsoft Office Word</Application>
  <DocSecurity>0</DocSecurity>
  <Lines>14</Lines>
  <Paragraphs>4</Paragraphs>
  <ScaleCrop>false</ScaleCrop>
  <Company>china</Company>
  <LinksUpToDate>false</LinksUpToDate>
  <CharactersWithSpaces>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张云鹏</dc:creator>
  <cp:lastModifiedBy>程晓红</cp:lastModifiedBy>
  <cp:revision>333</cp:revision>
  <cp:lastPrinted>2019-12-17T04:15:00Z</cp:lastPrinted>
  <dcterms:created xsi:type="dcterms:W3CDTF">2019-03-07T02:32:00Z</dcterms:created>
  <dcterms:modified xsi:type="dcterms:W3CDTF">2019-12-17T04:17:00Z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