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方正仿宋简体" w:eastAsia="方正仿宋简体"/>
          <w:b/>
          <w:sz w:val="36"/>
          <w:szCs w:val="36"/>
          <w:lang w:eastAsia="zh-CN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封闭净值型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理财产品净值公告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我行金胡杨系列净值型理财产品</w:t>
      </w:r>
      <w:r>
        <w:rPr>
          <w:rFonts w:hint="eastAsia"/>
          <w:sz w:val="24"/>
          <w:szCs w:val="24"/>
          <w:lang w:val="en-US" w:eastAsia="zh-CN"/>
        </w:rPr>
        <w:t>2019年12月17日</w:t>
      </w:r>
      <w:r>
        <w:rPr>
          <w:rFonts w:hint="eastAsia"/>
          <w:sz w:val="24"/>
          <w:szCs w:val="24"/>
        </w:rPr>
        <w:t>净值信息如下：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7"/>
        <w:gridCol w:w="1705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金胡杨封闭净值型理财第2期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1.02228400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1.02228400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金胡杨封闭净值型理财第4期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1.01603400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1.01603400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金胡杨封闭净值型理财第5期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1.01287400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1.01287400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金胡杨封闭净值型理财第6期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1.01196400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金胡杨封闭净值型理财第7期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1.00733300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1.00733300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金胡杨封闭净值型理财第8期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1.00777900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1.00777900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金胡杨封闭净值型理财第9期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1.00447100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1.00447100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金胡杨封闭净值型理财第10期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1.00236900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1.00236900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金胡杨封闭净值型理财第11期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1.00097800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金胡杨.定开新（90天）个人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1.00411700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金胡杨.定开新（35天）个人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1.00089600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1.00089600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提示：本理财产品为非保本净值型理财产品，存在本金损失的可能，本产品定期公布的单位净值或类似表述并非承诺收益率，不代表投资者可能获得的实际收益，亦不构成银行对该产品的任何收益承诺，投资者获得的最终收益以新疆银行实际支付为准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新疆银行股份有限公司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B6C"/>
    <w:rsid w:val="09963868"/>
    <w:rsid w:val="0DB458F3"/>
    <w:rsid w:val="0E567449"/>
    <w:rsid w:val="101C555B"/>
    <w:rsid w:val="178F3EA9"/>
    <w:rsid w:val="19A1452C"/>
    <w:rsid w:val="1C700974"/>
    <w:rsid w:val="1F390BF0"/>
    <w:rsid w:val="27EA4EE6"/>
    <w:rsid w:val="2E613F37"/>
    <w:rsid w:val="2F4B394E"/>
    <w:rsid w:val="32230363"/>
    <w:rsid w:val="3EF04164"/>
    <w:rsid w:val="50E9731D"/>
    <w:rsid w:val="55776349"/>
    <w:rsid w:val="5B033321"/>
    <w:rsid w:val="5C1F4D09"/>
    <w:rsid w:val="638377B1"/>
    <w:rsid w:val="6A8B358E"/>
    <w:rsid w:val="6B880B58"/>
    <w:rsid w:val="6C4F19C1"/>
    <w:rsid w:val="72FA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XJBANK</cp:lastModifiedBy>
  <cp:lastPrinted>2019-10-23T03:06:00Z</cp:lastPrinted>
  <dcterms:modified xsi:type="dcterms:W3CDTF">2019-12-18T03:15:04Z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