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ascii="黑体" w:hAnsi="黑体" w:eastAsia="黑体" w:cs="宋体"/>
          <w:b w:val="0"/>
          <w:kern w:val="0"/>
          <w:sz w:val="28"/>
          <w:szCs w:val="28"/>
        </w:rPr>
      </w:pPr>
      <w:r>
        <w:rPr>
          <w:rStyle w:val="7"/>
          <w:rFonts w:hint="eastAsia" w:ascii="黑体" w:hAnsi="黑体" w:eastAsia="黑体" w:cs="宋体"/>
          <w:b w:val="0"/>
          <w:kern w:val="0"/>
          <w:sz w:val="28"/>
          <w:szCs w:val="28"/>
        </w:rPr>
        <w:t>新疆银行“金胡杨”封闭净值型人民币理财产品说明书</w:t>
      </w:r>
    </w:p>
    <w:p>
      <w:pPr>
        <w:spacing w:line="400" w:lineRule="exact"/>
        <w:jc w:val="center"/>
        <w:rPr>
          <w:rStyle w:val="7"/>
          <w:rFonts w:ascii="宋体" w:hAnsi="宋体" w:cs="宋体"/>
          <w:kern w:val="0"/>
          <w:sz w:val="18"/>
          <w:szCs w:val="18"/>
        </w:rPr>
      </w:pPr>
      <w:r>
        <w:rPr>
          <w:rStyle w:val="7"/>
          <w:rFonts w:hint="eastAsia" w:ascii="宋体" w:hAnsi="宋体" w:cs="宋体"/>
          <w:kern w:val="0"/>
          <w:sz w:val="18"/>
          <w:szCs w:val="18"/>
        </w:rPr>
        <w:t>理财非存款、产品有风险、投资须谨慎</w:t>
      </w:r>
    </w:p>
    <w:p>
      <w:pPr>
        <w:spacing w:line="400" w:lineRule="exact"/>
        <w:rPr>
          <w:rStyle w:val="7"/>
          <w:rFonts w:ascii="华文仿宋" w:hAnsi="华文仿宋" w:eastAsia="华文仿宋" w:cs="华文仿宋"/>
          <w:kern w:val="0"/>
          <w:sz w:val="24"/>
          <w:szCs w:val="24"/>
        </w:rPr>
      </w:pPr>
      <w:r>
        <w:rPr>
          <w:rStyle w:val="7"/>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color w:val="000000" w:themeColor="text1"/>
          <w:sz w:val="24"/>
          <w:szCs w:val="24"/>
          <w:lang w:eastAsia="zh-CN"/>
          <w14:textFill>
            <w14:solidFill>
              <w14:schemeClr w14:val="tx1"/>
            </w14:solidFill>
          </w14:textFill>
        </w:rPr>
        <w:t>投资</w:t>
      </w:r>
      <w:r>
        <w:rPr>
          <w:rFonts w:hint="eastAsia" w:ascii="华文仿宋" w:hAnsi="华文仿宋" w:eastAsia="华文仿宋" w:cs="华文仿宋"/>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五、在购买理财产品后，投资者应随时关注该理财产品的信息披露情况，及时获取相关信息。可依据本产品登记编码在“中国理财网(www.chinaealth.com.cn)”查询产品信息。</w:t>
      </w:r>
    </w:p>
    <w:p>
      <w:pPr>
        <w:spacing w:line="400" w:lineRule="exact"/>
        <w:rPr>
          <w:rStyle w:val="7"/>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7"/>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color w:val="000000"/>
                                <w:sz w:val="24"/>
                                <w:szCs w:val="24"/>
                              </w:rPr>
                            </w:pPr>
                            <w:r>
                              <w:rPr>
                                <w:rStyle w:val="7"/>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7"/>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7"/>
                                <w:rFonts w:ascii="宋体" w:hAnsi="宋体" w:cs="宋体"/>
                                <w:b w:val="0"/>
                                <w:bCs w:val="0"/>
                                <w:kern w:val="0"/>
                                <w:szCs w:val="21"/>
                              </w:rPr>
                            </w:pPr>
                            <w:r>
                              <w:rPr>
                                <w:rStyle w:val="7"/>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7"/>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color w:val="000000"/>
                          <w:sz w:val="24"/>
                          <w:szCs w:val="24"/>
                        </w:rPr>
                      </w:pPr>
                      <w:r>
                        <w:rPr>
                          <w:rStyle w:val="7"/>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7"/>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7"/>
                          <w:rFonts w:ascii="宋体" w:hAnsi="宋体" w:cs="宋体"/>
                          <w:b w:val="0"/>
                          <w:bCs w:val="0"/>
                          <w:kern w:val="0"/>
                          <w:szCs w:val="21"/>
                        </w:rPr>
                      </w:pPr>
                      <w:r>
                        <w:rPr>
                          <w:rStyle w:val="7"/>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7"/>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7"/>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tbl>
      <w:tblPr>
        <w:tblStyle w:val="9"/>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12期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C1364319000050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7"/>
                <w:rFonts w:ascii="华文仿宋" w:hAnsi="华文仿宋" w:eastAsia="华文仿宋" w:cs="华文仿宋"/>
                <w:b w:val="0"/>
                <w:bCs w:val="0"/>
                <w:kern w:val="0"/>
                <w:sz w:val="24"/>
                <w:szCs w:val="24"/>
              </w:rPr>
            </w:pPr>
            <w:r>
              <w:rPr>
                <w:rStyle w:val="7"/>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7"/>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7"/>
                <w:rFonts w:ascii="华文仿宋" w:hAnsi="华文仿宋" w:eastAsia="华文仿宋" w:cs="华文仿宋"/>
                <w:b w:val="0"/>
                <w:bCs w:val="0"/>
                <w:kern w:val="0"/>
                <w:sz w:val="24"/>
                <w:szCs w:val="24"/>
              </w:rPr>
            </w:pPr>
            <w:r>
              <w:rPr>
                <w:rStyle w:val="7"/>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7"/>
                <w:rFonts w:ascii="华文仿宋" w:hAnsi="华文仿宋" w:eastAsia="华文仿宋" w:cs="华文仿宋"/>
                <w:b w:val="0"/>
                <w:bCs w:val="0"/>
                <w:kern w:val="0"/>
                <w:sz w:val="24"/>
                <w:szCs w:val="24"/>
              </w:rPr>
            </w:pPr>
            <w:r>
              <w:rPr>
                <w:rStyle w:val="7"/>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182</w:t>
            </w:r>
            <w:r>
              <w:rPr>
                <w:rFonts w:hint="eastAsia" w:ascii="华文仿宋" w:hAnsi="华文仿宋" w:eastAsia="华文仿宋" w:cs="华文仿宋"/>
                <w:bCs/>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本理财产品认购起点为人民币1万元，以1千元整数倍递增。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20000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2019</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12</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10</w:t>
            </w:r>
            <w:r>
              <w:rPr>
                <w:rFonts w:hint="eastAsia" w:ascii="华文仿宋" w:hAnsi="华文仿宋" w:eastAsia="华文仿宋" w:cs="华文仿宋"/>
                <w:bCs/>
                <w:kern w:val="0"/>
                <w:sz w:val="24"/>
                <w:szCs w:val="24"/>
              </w:rPr>
              <w:t>日至</w:t>
            </w:r>
            <w:r>
              <w:rPr>
                <w:rFonts w:hint="eastAsia" w:ascii="华文仿宋" w:hAnsi="华文仿宋" w:eastAsia="华文仿宋" w:cs="华文仿宋"/>
                <w:bCs/>
                <w:kern w:val="0"/>
                <w:sz w:val="24"/>
                <w:szCs w:val="24"/>
                <w:lang w:val="en-US" w:eastAsia="zh-CN"/>
              </w:rPr>
              <w:t>2019</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12</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16</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lang w:val="en-US" w:eastAsia="zh-CN"/>
              </w:rPr>
              <w:t>2019</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12</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17</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2020</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06</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16日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2020</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06</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16日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本产品业绩比较基准为</w:t>
            </w:r>
            <w:r>
              <w:rPr>
                <w:rFonts w:hint="eastAsia" w:ascii="华文仿宋" w:hAnsi="华文仿宋" w:eastAsia="华文仿宋" w:cs="华文仿宋"/>
                <w:bCs/>
                <w:kern w:val="0"/>
                <w:sz w:val="24"/>
                <w:szCs w:val="24"/>
                <w:lang w:val="en-US" w:eastAsia="zh-CN"/>
              </w:rPr>
              <w:t>4.5</w:t>
            </w:r>
            <w:r>
              <w:rPr>
                <w:rFonts w:hint="eastAsia" w:ascii="华文仿宋" w:hAnsi="华文仿宋" w:eastAsia="华文仿宋" w:cs="华文仿宋"/>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本产品</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销售管理费</w:t>
            </w:r>
            <w:r>
              <w:rPr>
                <w:rFonts w:hint="eastAsia" w:ascii="华文仿宋" w:hAnsi="华文仿宋" w:eastAsia="华文仿宋" w:cs="华文仿宋"/>
                <w:bCs/>
                <w:color w:val="auto"/>
                <w:kern w:val="0"/>
                <w:sz w:val="24"/>
                <w:szCs w:val="24"/>
                <w:lang w:val="en-US" w:eastAsia="zh-CN"/>
              </w:rPr>
              <w:t>0%/年、</w:t>
            </w:r>
            <w:r>
              <w:rPr>
                <w:rFonts w:hint="eastAsia" w:ascii="华文仿宋" w:hAnsi="华文仿宋" w:eastAsia="华文仿宋" w:cs="华文仿宋"/>
                <w:bCs/>
                <w:color w:val="auto"/>
                <w:kern w:val="0"/>
                <w:sz w:val="24"/>
                <w:szCs w:val="24"/>
                <w:lang w:eastAsia="zh-CN"/>
              </w:rPr>
              <w:t>产品</w:t>
            </w:r>
            <w:r>
              <w:rPr>
                <w:rFonts w:hint="eastAsia" w:ascii="华文仿宋" w:hAnsi="华文仿宋" w:eastAsia="华文仿宋" w:cs="华文仿宋"/>
                <w:bCs/>
                <w:color w:val="auto"/>
                <w:kern w:val="0"/>
                <w:sz w:val="24"/>
                <w:szCs w:val="24"/>
              </w:rPr>
              <w:t>托管费</w:t>
            </w:r>
            <w:r>
              <w:rPr>
                <w:rFonts w:hint="eastAsia" w:ascii="华文仿宋" w:hAnsi="华文仿宋" w:eastAsia="华文仿宋" w:cs="华文仿宋"/>
                <w:bCs/>
                <w:color w:val="auto"/>
                <w:kern w:val="0"/>
                <w:sz w:val="24"/>
                <w:szCs w:val="24"/>
                <w:lang w:val="en-US" w:eastAsia="zh-CN"/>
              </w:rPr>
              <w:t>0.01</w:t>
            </w:r>
            <w:r>
              <w:rPr>
                <w:rFonts w:hint="eastAsia" w:ascii="华文仿宋" w:hAnsi="华文仿宋" w:eastAsia="华文仿宋" w:cs="华文仿宋"/>
                <w:bCs/>
                <w:color w:val="auto"/>
                <w:kern w:val="0"/>
                <w:sz w:val="24"/>
                <w:szCs w:val="24"/>
              </w:rPr>
              <w:t>%/年、固定管理费</w:t>
            </w:r>
            <w:r>
              <w:rPr>
                <w:rFonts w:hint="eastAsia" w:ascii="华文仿宋" w:hAnsi="华文仿宋" w:eastAsia="华文仿宋" w:cs="华文仿宋"/>
                <w:bCs/>
                <w:color w:val="auto"/>
                <w:kern w:val="0"/>
                <w:sz w:val="24"/>
                <w:szCs w:val="24"/>
                <w:lang w:val="en-US" w:eastAsia="zh-CN"/>
              </w:rPr>
              <w:t>0.2</w:t>
            </w:r>
            <w:r>
              <w:rPr>
                <w:rFonts w:hint="eastAsia" w:ascii="华文仿宋" w:hAnsi="华文仿宋" w:eastAsia="华文仿宋" w:cs="华文仿宋"/>
                <w:bCs/>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浮动管理费</w:t>
            </w:r>
            <w:r>
              <w:rPr>
                <w:rFonts w:hint="eastAsia" w:ascii="华文仿宋" w:hAnsi="华文仿宋" w:eastAsia="华文仿宋" w:cs="华文仿宋"/>
                <w:bCs/>
                <w:color w:val="auto"/>
                <w:kern w:val="0"/>
                <w:sz w:val="24"/>
                <w:szCs w:val="24"/>
                <w:lang w:eastAsia="zh-CN"/>
              </w:rPr>
              <w:t>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在本</w:t>
            </w:r>
            <w:r>
              <w:rPr>
                <w:rFonts w:hint="eastAsia" w:ascii="华文仿宋" w:hAnsi="华文仿宋" w:eastAsia="华文仿宋" w:cs="华文仿宋"/>
                <w:bCs/>
                <w:color w:val="auto"/>
                <w:kern w:val="0"/>
                <w:sz w:val="24"/>
                <w:szCs w:val="24"/>
              </w:rPr>
              <w:t>产品到期日或提前终止日，剔除销售管理费、托管费、固定管理费以及产品</w:t>
            </w:r>
            <w:r>
              <w:rPr>
                <w:rFonts w:hint="eastAsia" w:ascii="华文仿宋" w:hAnsi="华文仿宋" w:eastAsia="华文仿宋" w:cs="华文仿宋"/>
                <w:bCs/>
                <w:color w:val="auto"/>
                <w:kern w:val="0"/>
                <w:sz w:val="24"/>
                <w:szCs w:val="24"/>
                <w:lang w:eastAsia="zh-CN"/>
              </w:rPr>
              <w:t>应承担</w:t>
            </w:r>
            <w:r>
              <w:rPr>
                <w:rFonts w:hint="eastAsia" w:ascii="华文仿宋" w:hAnsi="华文仿宋" w:eastAsia="华文仿宋" w:cs="华文仿宋"/>
                <w:bCs/>
                <w:color w:val="auto"/>
                <w:kern w:val="0"/>
                <w:sz w:val="24"/>
                <w:szCs w:val="24"/>
              </w:rPr>
              <w:t>的增值税</w:t>
            </w:r>
            <w:r>
              <w:rPr>
                <w:rFonts w:hint="eastAsia" w:ascii="华文仿宋" w:hAnsi="华文仿宋" w:eastAsia="华文仿宋" w:cs="华文仿宋"/>
                <w:bCs/>
                <w:color w:val="auto"/>
                <w:kern w:val="0"/>
                <w:sz w:val="24"/>
                <w:szCs w:val="24"/>
                <w:lang w:eastAsia="zh-CN"/>
              </w:rPr>
              <w:t>及其</w:t>
            </w:r>
            <w:r>
              <w:rPr>
                <w:rFonts w:hint="eastAsia" w:ascii="华文仿宋" w:hAnsi="华文仿宋" w:eastAsia="华文仿宋" w:cs="华文仿宋"/>
                <w:bCs/>
                <w:color w:val="auto"/>
                <w:kern w:val="0"/>
                <w:sz w:val="24"/>
                <w:szCs w:val="24"/>
              </w:rPr>
              <w:t>附加</w:t>
            </w:r>
            <w:r>
              <w:rPr>
                <w:rFonts w:hint="eastAsia" w:ascii="华文仿宋" w:hAnsi="华文仿宋" w:eastAsia="华文仿宋" w:cs="华文仿宋"/>
                <w:bCs/>
                <w:color w:val="auto"/>
                <w:kern w:val="0"/>
                <w:sz w:val="24"/>
                <w:szCs w:val="24"/>
                <w:lang w:eastAsia="zh-CN"/>
              </w:rPr>
              <w:t>等相关</w:t>
            </w:r>
            <w:r>
              <w:rPr>
                <w:rFonts w:hint="eastAsia" w:ascii="华文仿宋" w:hAnsi="华文仿宋" w:eastAsia="华文仿宋" w:cs="华文仿宋"/>
                <w:bCs/>
                <w:color w:val="auto"/>
                <w:kern w:val="0"/>
                <w:sz w:val="24"/>
                <w:szCs w:val="24"/>
              </w:rPr>
              <w:t>税费后</w:t>
            </w:r>
            <w:r>
              <w:rPr>
                <w:rFonts w:hint="eastAsia" w:ascii="华文仿宋" w:hAnsi="华文仿宋" w:eastAsia="华文仿宋" w:cs="华文仿宋"/>
                <w:bCs/>
                <w:color w:val="auto"/>
                <w:kern w:val="0"/>
                <w:sz w:val="24"/>
                <w:szCs w:val="24"/>
                <w:lang w:eastAsia="zh-CN"/>
              </w:rPr>
              <w:t>，投资收益</w:t>
            </w:r>
            <w:r>
              <w:rPr>
                <w:rFonts w:hint="eastAsia" w:ascii="华文仿宋" w:hAnsi="华文仿宋" w:eastAsia="华文仿宋" w:cs="华文仿宋"/>
                <w:bCs/>
                <w:color w:val="auto"/>
                <w:kern w:val="0"/>
                <w:sz w:val="24"/>
                <w:szCs w:val="24"/>
              </w:rPr>
              <w:t>超过业绩比较基准</w:t>
            </w:r>
            <w:r>
              <w:rPr>
                <w:rFonts w:hint="eastAsia" w:ascii="华文仿宋" w:hAnsi="华文仿宋" w:eastAsia="华文仿宋" w:cs="华文仿宋"/>
                <w:bCs/>
                <w:color w:val="auto"/>
                <w:kern w:val="0"/>
                <w:sz w:val="24"/>
                <w:szCs w:val="24"/>
                <w:lang w:val="en-US" w:eastAsia="zh-CN"/>
              </w:rPr>
              <w:t>4.5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部分</w:t>
            </w:r>
            <w:r>
              <w:rPr>
                <w:rFonts w:hint="eastAsia" w:ascii="华文仿宋" w:hAnsi="华文仿宋" w:eastAsia="华文仿宋" w:cs="华文仿宋"/>
                <w:bCs/>
                <w:color w:val="auto"/>
                <w:kern w:val="0"/>
                <w:sz w:val="24"/>
                <w:szCs w:val="24"/>
                <w:lang w:eastAsia="zh-CN"/>
              </w:rPr>
              <w:t>，</w:t>
            </w:r>
            <w:r>
              <w:rPr>
                <w:rFonts w:hint="eastAsia" w:ascii="华文仿宋" w:hAnsi="华文仿宋" w:eastAsia="华文仿宋" w:cs="华文仿宋"/>
                <w:bCs/>
                <w:color w:val="auto"/>
                <w:kern w:val="0"/>
                <w:sz w:val="24"/>
                <w:szCs w:val="24"/>
              </w:rPr>
              <w:t>管理人</w:t>
            </w:r>
            <w:r>
              <w:rPr>
                <w:rFonts w:hint="eastAsia" w:ascii="华文仿宋" w:hAnsi="华文仿宋" w:eastAsia="华文仿宋" w:cs="华文仿宋"/>
                <w:bCs/>
                <w:color w:val="auto"/>
                <w:kern w:val="0"/>
                <w:sz w:val="24"/>
                <w:szCs w:val="24"/>
                <w:lang w:eastAsia="zh-CN"/>
              </w:rPr>
              <w:t>可按照</w:t>
            </w:r>
            <w:r>
              <w:rPr>
                <w:rFonts w:hint="eastAsia" w:ascii="华文仿宋" w:hAnsi="华文仿宋" w:eastAsia="华文仿宋" w:cs="华文仿宋"/>
                <w:bCs/>
                <w:color w:val="auto"/>
                <w:kern w:val="0"/>
                <w:sz w:val="24"/>
                <w:szCs w:val="24"/>
                <w:lang w:val="en-US" w:eastAsia="zh-CN"/>
              </w:rPr>
              <w:t>30</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的比例提取浮动管理费，</w:t>
            </w:r>
            <w:r>
              <w:rPr>
                <w:rFonts w:hint="eastAsia" w:ascii="华文仿宋" w:hAnsi="华文仿宋" w:eastAsia="华文仿宋" w:cs="华文仿宋"/>
                <w:bCs/>
                <w:color w:val="auto"/>
                <w:kern w:val="0"/>
                <w:sz w:val="24"/>
                <w:szCs w:val="24"/>
              </w:rPr>
              <w:t>剩余</w:t>
            </w:r>
            <w:r>
              <w:rPr>
                <w:rFonts w:hint="eastAsia" w:ascii="华文仿宋" w:hAnsi="华文仿宋" w:eastAsia="华文仿宋" w:cs="华文仿宋"/>
                <w:bCs/>
                <w:color w:val="auto"/>
                <w:kern w:val="0"/>
                <w:sz w:val="24"/>
                <w:szCs w:val="24"/>
                <w:lang w:val="en-US" w:eastAsia="zh-CN"/>
              </w:rPr>
              <w:t>部分</w:t>
            </w:r>
            <w:r>
              <w:rPr>
                <w:rFonts w:hint="eastAsia" w:ascii="华文仿宋" w:hAnsi="华文仿宋" w:eastAsia="华文仿宋" w:cs="华文仿宋"/>
                <w:bCs/>
                <w:color w:val="auto"/>
                <w:kern w:val="0"/>
                <w:sz w:val="24"/>
                <w:szCs w:val="24"/>
              </w:rPr>
              <w:t>归客户所有。</w:t>
            </w:r>
            <w:r>
              <w:rPr>
                <w:rFonts w:hint="eastAsia" w:ascii="华文仿宋" w:hAnsi="华文仿宋" w:eastAsia="华文仿宋" w:cs="华文仿宋"/>
                <w:bCs/>
                <w:color w:val="auto"/>
                <w:kern w:val="0"/>
                <w:sz w:val="24"/>
                <w:szCs w:val="24"/>
                <w:lang w:eastAsia="zh-CN"/>
              </w:rPr>
              <w:t>如</w:t>
            </w:r>
            <w:r>
              <w:rPr>
                <w:rFonts w:hint="eastAsia" w:ascii="华文仿宋" w:hAnsi="华文仿宋" w:eastAsia="华文仿宋" w:cs="华文仿宋"/>
                <w:bCs/>
                <w:color w:val="auto"/>
                <w:kern w:val="0"/>
                <w:sz w:val="24"/>
                <w:szCs w:val="24"/>
              </w:rPr>
              <w:t>低于业绩比较基准</w:t>
            </w:r>
            <w:r>
              <w:rPr>
                <w:rFonts w:hint="eastAsia" w:ascii="华文仿宋" w:hAnsi="华文仿宋" w:eastAsia="华文仿宋" w:cs="华文仿宋"/>
                <w:bCs/>
                <w:color w:val="auto"/>
                <w:kern w:val="0"/>
                <w:sz w:val="24"/>
                <w:szCs w:val="24"/>
                <w:lang w:val="en-US" w:eastAsia="zh-CN"/>
              </w:rPr>
              <w:t>4.5</w:t>
            </w:r>
            <w:r>
              <w:rPr>
                <w:rFonts w:hint="eastAsia" w:ascii="华文仿宋" w:hAnsi="华文仿宋" w:eastAsia="华文仿宋" w:cs="华文仿宋"/>
                <w:bCs/>
                <w:color w:val="auto"/>
                <w:kern w:val="0"/>
                <w:sz w:val="24"/>
                <w:szCs w:val="24"/>
              </w:rPr>
              <w:t>%(含)</w:t>
            </w:r>
            <w:r>
              <w:rPr>
                <w:rFonts w:hint="eastAsia" w:ascii="华文仿宋" w:hAnsi="华文仿宋" w:eastAsia="华文仿宋" w:cs="华文仿宋"/>
                <w:bCs/>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color w:val="auto"/>
                <w:kern w:val="0"/>
                <w:sz w:val="24"/>
                <w:szCs w:val="24"/>
              </w:rPr>
              <w:t>本产品运作和清算中产生的其他资金汇划费、结算费、交易手续费、注册</w:t>
            </w:r>
            <w:r>
              <w:rPr>
                <w:rFonts w:hint="eastAsia" w:ascii="华文仿宋" w:hAnsi="华文仿宋" w:eastAsia="华文仿宋" w:cs="华文仿宋"/>
                <w:bCs/>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color w:val="000000"/>
                <w:kern w:val="0"/>
                <w:sz w:val="24"/>
                <w:szCs w:val="24"/>
              </w:rPr>
              <w:t>4.</w:t>
            </w:r>
            <w:r>
              <w:rPr>
                <w:rFonts w:hint="eastAsia" w:ascii="华文仿宋" w:hAnsi="华文仿宋" w:eastAsia="华文仿宋" w:cs="华文仿宋"/>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Cs/>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本理财产品不提供对账单。投资人同意通过新疆银行官方网</w:t>
            </w:r>
            <w:r>
              <w:rPr>
                <w:rFonts w:hint="eastAsia" w:ascii="华文仿宋" w:hAnsi="华文仿宋" w:eastAsia="华文仿宋" w:cs="华文仿宋"/>
                <w:kern w:val="0"/>
                <w:sz w:val="24"/>
                <w:szCs w:val="24"/>
              </w:rPr>
              <w:t>（www.xjbank.com）</w:t>
            </w:r>
            <w:r>
              <w:rPr>
                <w:rFonts w:hint="eastAsia" w:ascii="华文仿宋" w:hAnsi="华文仿宋" w:eastAsia="华文仿宋" w:cs="华文仿宋"/>
                <w:bCs/>
                <w:kern w:val="0"/>
                <w:sz w:val="24"/>
                <w:szCs w:val="24"/>
              </w:rPr>
              <w:t>、新疆银行官方微信或相关营业网点及时了解相关信息公告。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w:t>
            </w:r>
            <w:r>
              <w:rPr>
                <w:rFonts w:hint="eastAsia" w:ascii="华文仿宋" w:hAnsi="华文仿宋" w:eastAsia="华文仿宋" w:cs="华文仿宋"/>
                <w:bCs/>
                <w:kern w:val="0"/>
                <w:sz w:val="24"/>
                <w:szCs w:val="24"/>
              </w:rPr>
              <w:t>银行</w:t>
            </w:r>
          </w:p>
        </w:tc>
      </w:tr>
    </w:tbl>
    <w:p>
      <w:pPr>
        <w:spacing w:line="380" w:lineRule="exact"/>
        <w:ind w:firstLine="480" w:firstLineChars="200"/>
        <w:jc w:val="left"/>
        <w:rPr>
          <w:rFonts w:ascii="华文仿宋" w:hAnsi="华文仿宋" w:eastAsia="华文仿宋" w:cs="华文仿宋"/>
          <w:sz w:val="24"/>
          <w:szCs w:val="24"/>
        </w:rPr>
      </w:pPr>
      <w:r>
        <w:rPr>
          <w:rStyle w:val="7"/>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标准化固定收益类资产：包括但不限于国债、中央银行票据、同业存单、金融债、企业债、公司债、中期票据、短期融资券、超短期融资券、定向债务融资工具（PPN）、资产支持证券、资产支持票据(ABN）及底层资产为上述资产的各类资管计划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各类资产的投资比例为：现金类资产、货币市场工具、货币市场基金和标准化固定收益类资产的比例为80%-100%；其他符合监管要求的资产0%-20%。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9"/>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0" w:firstLineChars="200"/>
        <w:jc w:val="left"/>
        <w:rPr>
          <w:rFonts w:ascii="华文仿宋" w:hAnsi="华文仿宋" w:eastAsia="华文仿宋" w:cs="华文仿宋"/>
          <w:sz w:val="24"/>
          <w:szCs w:val="24"/>
        </w:rPr>
      </w:pPr>
      <w:r>
        <w:rPr>
          <w:rStyle w:val="7"/>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7"/>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7"/>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7"/>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7"/>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大黑简体">
    <w:panose1 w:val="02010601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sans 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7"/>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2E02747"/>
    <w:rsid w:val="04AF546C"/>
    <w:rsid w:val="05F9618D"/>
    <w:rsid w:val="06AA54B4"/>
    <w:rsid w:val="084B4A25"/>
    <w:rsid w:val="0A2C2EA4"/>
    <w:rsid w:val="0A8D7997"/>
    <w:rsid w:val="0DCC06A1"/>
    <w:rsid w:val="0DDC7649"/>
    <w:rsid w:val="0E8F6CE4"/>
    <w:rsid w:val="0F2922A6"/>
    <w:rsid w:val="0F344F29"/>
    <w:rsid w:val="0F833DB6"/>
    <w:rsid w:val="12295BA1"/>
    <w:rsid w:val="150B39CF"/>
    <w:rsid w:val="158B366C"/>
    <w:rsid w:val="15D266DB"/>
    <w:rsid w:val="166528F4"/>
    <w:rsid w:val="18307F10"/>
    <w:rsid w:val="19617D23"/>
    <w:rsid w:val="1B74754D"/>
    <w:rsid w:val="1B8B56DD"/>
    <w:rsid w:val="1BFE7181"/>
    <w:rsid w:val="1CFB3A9C"/>
    <w:rsid w:val="1D192D6F"/>
    <w:rsid w:val="207C11C5"/>
    <w:rsid w:val="219B0D2E"/>
    <w:rsid w:val="22BC6D50"/>
    <w:rsid w:val="24730B3D"/>
    <w:rsid w:val="26732104"/>
    <w:rsid w:val="267A2E2F"/>
    <w:rsid w:val="271B79CF"/>
    <w:rsid w:val="282E437B"/>
    <w:rsid w:val="292A75D2"/>
    <w:rsid w:val="29AB6CFA"/>
    <w:rsid w:val="29C0055D"/>
    <w:rsid w:val="2C35520A"/>
    <w:rsid w:val="2D213277"/>
    <w:rsid w:val="2EC47150"/>
    <w:rsid w:val="2EF04DAC"/>
    <w:rsid w:val="2F41330F"/>
    <w:rsid w:val="2FB06FC7"/>
    <w:rsid w:val="3042169D"/>
    <w:rsid w:val="315437AD"/>
    <w:rsid w:val="33523587"/>
    <w:rsid w:val="33A47907"/>
    <w:rsid w:val="36872AFD"/>
    <w:rsid w:val="37014554"/>
    <w:rsid w:val="370234D1"/>
    <w:rsid w:val="38596AB4"/>
    <w:rsid w:val="38C75ACE"/>
    <w:rsid w:val="3A332045"/>
    <w:rsid w:val="3A7D3C24"/>
    <w:rsid w:val="3AA376C1"/>
    <w:rsid w:val="3B6E4155"/>
    <w:rsid w:val="3BC03386"/>
    <w:rsid w:val="3D4C494C"/>
    <w:rsid w:val="3DFC5C2C"/>
    <w:rsid w:val="3E8A3700"/>
    <w:rsid w:val="3F0A535E"/>
    <w:rsid w:val="3F2040FB"/>
    <w:rsid w:val="409C44FE"/>
    <w:rsid w:val="43121CF7"/>
    <w:rsid w:val="43502D1F"/>
    <w:rsid w:val="43B6405B"/>
    <w:rsid w:val="45F45948"/>
    <w:rsid w:val="47273A5C"/>
    <w:rsid w:val="47837790"/>
    <w:rsid w:val="48122FCB"/>
    <w:rsid w:val="48C41F58"/>
    <w:rsid w:val="4AA84823"/>
    <w:rsid w:val="4B2E687E"/>
    <w:rsid w:val="4D5765AE"/>
    <w:rsid w:val="50063C66"/>
    <w:rsid w:val="517A1B21"/>
    <w:rsid w:val="51F40E94"/>
    <w:rsid w:val="529E0394"/>
    <w:rsid w:val="52BE53F9"/>
    <w:rsid w:val="557C3BE9"/>
    <w:rsid w:val="56E03574"/>
    <w:rsid w:val="57E86B41"/>
    <w:rsid w:val="59214BFC"/>
    <w:rsid w:val="5A3A65B9"/>
    <w:rsid w:val="5BA85F91"/>
    <w:rsid w:val="5F06242E"/>
    <w:rsid w:val="6099040F"/>
    <w:rsid w:val="60D12938"/>
    <w:rsid w:val="63B2608C"/>
    <w:rsid w:val="650134AF"/>
    <w:rsid w:val="650830F4"/>
    <w:rsid w:val="66437D7B"/>
    <w:rsid w:val="66915AAB"/>
    <w:rsid w:val="68107BBA"/>
    <w:rsid w:val="6B7F4BCE"/>
    <w:rsid w:val="6CBE5BCF"/>
    <w:rsid w:val="6D60040F"/>
    <w:rsid w:val="6D9846CE"/>
    <w:rsid w:val="6DC310D5"/>
    <w:rsid w:val="6EF3563C"/>
    <w:rsid w:val="703C2EBA"/>
    <w:rsid w:val="71847892"/>
    <w:rsid w:val="71961F41"/>
    <w:rsid w:val="71D81222"/>
    <w:rsid w:val="75B25B27"/>
    <w:rsid w:val="76EB0BCD"/>
    <w:rsid w:val="77692B6F"/>
    <w:rsid w:val="793244EC"/>
    <w:rsid w:val="79E1288F"/>
    <w:rsid w:val="7CAB3AE1"/>
    <w:rsid w:val="7CE36EC9"/>
    <w:rsid w:val="7D0C1DD9"/>
    <w:rsid w:val="7E5F744D"/>
    <w:rsid w:val="7F393C3F"/>
  </w:rsids>
  <m:mathPr>
    <m:lMargin m:val="0"/>
    <m:mathFont m:val="Cambria Math"/>
    <m:rMargin m:val="0"/>
    <m:wrapIndent m:val="1440"/>
    <m:brkBin m:val="before"/>
    <m:brkBinSub m:val="--"/>
    <m:defJc m:val="centerGroup"/>
    <m:intLim m:val="subSup"/>
    <m:naryLim m:val="undOvr"/>
    <m:smallFrac m:val="off"/>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character" w:styleId="7">
    <w:name w:val="Strong"/>
    <w:basedOn w:val="6"/>
    <w:qFormat/>
    <w:uiPriority w:val="99"/>
    <w:rPr>
      <w:rFonts w:cs="Times New Roman"/>
      <w:b/>
      <w:bCs/>
    </w:rPr>
  </w:style>
  <w:style w:type="character" w:styleId="8">
    <w:name w:val="Hyperlink"/>
    <w:basedOn w:val="6"/>
    <w:unhideWhenUsed/>
    <w:qFormat/>
    <w:uiPriority w:val="99"/>
    <w:rPr>
      <w:color w:val="0000FF"/>
      <w:u w:val="single"/>
    </w:rPr>
  </w:style>
  <w:style w:type="table" w:styleId="10">
    <w:name w:val="Table Grid"/>
    <w:basedOn w:val="9"/>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页眉 Char"/>
    <w:basedOn w:val="6"/>
    <w:link w:val="4"/>
    <w:semiHidden/>
    <w:qFormat/>
    <w:uiPriority w:val="99"/>
    <w:rPr>
      <w:rFonts w:ascii="Times New Roman" w:hAnsi="Times New Roman"/>
      <w:sz w:val="18"/>
      <w:szCs w:val="18"/>
    </w:rPr>
  </w:style>
  <w:style w:type="character" w:customStyle="1" w:styleId="12">
    <w:name w:val="页脚 Char"/>
    <w:basedOn w:val="6"/>
    <w:link w:val="3"/>
    <w:qFormat/>
    <w:uiPriority w:val="99"/>
    <w:rPr>
      <w:rFonts w:ascii="Times New Roman" w:hAnsi="Times New Roman"/>
      <w:sz w:val="18"/>
      <w:szCs w:val="18"/>
    </w:rPr>
  </w:style>
  <w:style w:type="character" w:customStyle="1" w:styleId="13">
    <w:name w:val="fontstyle01"/>
    <w:basedOn w:val="6"/>
    <w:qFormat/>
    <w:uiPriority w:val="0"/>
    <w:rPr>
      <w:rFonts w:hint="eastAsia" w:ascii="宋体" w:hAnsi="宋体" w:eastAsia="宋体" w:cs="宋体"/>
      <w:color w:val="000000"/>
      <w:sz w:val="22"/>
      <w:szCs w:val="22"/>
    </w:rPr>
  </w:style>
  <w:style w:type="character" w:customStyle="1" w:styleId="14">
    <w:name w:val="fontstyle11"/>
    <w:basedOn w:val="6"/>
    <w:qFormat/>
    <w:uiPriority w:val="0"/>
    <w:rPr>
      <w:rFonts w:ascii="仿宋" w:hAnsi="仿宋" w:eastAsia="仿宋" w:cs="仿宋"/>
      <w:color w:val="000000"/>
      <w:sz w:val="22"/>
      <w:szCs w:val="22"/>
    </w:rPr>
  </w:style>
  <w:style w:type="character" w:customStyle="1" w:styleId="15">
    <w:name w:val="批注框文本 Char"/>
    <w:basedOn w:val="6"/>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938</Words>
  <Characters>5352</Characters>
  <Lines>44</Lines>
  <Paragraphs>12</Paragraphs>
  <ScaleCrop>false</ScaleCrop>
  <LinksUpToDate>false</LinksUpToDate>
  <CharactersWithSpaces>6278</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曹旭红</cp:lastModifiedBy>
  <cp:lastPrinted>2019-08-14T06:11:00Z</cp:lastPrinted>
  <dcterms:modified xsi:type="dcterms:W3CDTF">2019-12-06T03:58:45Z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