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6"/>
          <w:rFonts w:ascii="黑体" w:hAnsi="黑体" w:eastAsia="黑体" w:cs="宋体"/>
          <w:kern w:val="0"/>
          <w:sz w:val="28"/>
          <w:szCs w:val="28"/>
        </w:rPr>
      </w:pPr>
      <w:r>
        <w:rPr>
          <w:rStyle w:val="6"/>
          <w:rFonts w:hint="eastAsia" w:ascii="黑体" w:hAnsi="黑体" w:eastAsia="黑体" w:cs="宋体"/>
          <w:kern w:val="0"/>
          <w:sz w:val="28"/>
          <w:szCs w:val="28"/>
        </w:rPr>
        <w:t>新疆银行净值型人民币理财产品风险揭示书</w:t>
      </w:r>
    </w:p>
    <w:p>
      <w:pPr>
        <w:widowControl/>
        <w:spacing w:line="400" w:lineRule="exact"/>
        <w:jc w:val="center"/>
        <w:rPr>
          <w:rFonts w:ascii="宋体" w:hAnsi="宋体" w:cs="宋体"/>
          <w:b/>
          <w:bCs/>
          <w:kern w:val="0"/>
        </w:rPr>
      </w:pPr>
      <w:r>
        <w:rPr>
          <w:rStyle w:val="6"/>
          <w:rFonts w:hint="eastAsia" w:ascii="宋体" w:hAnsi="宋体" w:cs="宋体"/>
          <w:kern w:val="0"/>
        </w:rPr>
        <w:t>理财非存款、产品有风险、投资须谨慎</w:t>
      </w:r>
    </w:p>
    <w:p>
      <w:pPr>
        <w:spacing w:line="400" w:lineRule="exact"/>
        <w:rPr>
          <w:rFonts w:ascii="华文仿宋" w:hAnsi="华文仿宋" w:eastAsia="华文仿宋"/>
          <w:sz w:val="24"/>
          <w:szCs w:val="24"/>
        </w:rPr>
      </w:pPr>
      <w:r>
        <w:rPr>
          <w:rFonts w:hint="eastAsia" w:ascii="华文仿宋" w:hAnsi="华文仿宋" w:eastAsia="华文仿宋"/>
          <w:sz w:val="24"/>
          <w:szCs w:val="24"/>
        </w:rPr>
        <w:t>尊敬的客户：</w:t>
      </w:r>
    </w:p>
    <w:p>
      <w:pPr>
        <w:spacing w:line="4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您应根据自身的风险承受能力，充分评估理财产品存在的风险，确定是否购买相应理财产品，如影响您风险承受能力的因素发生变化，请及时完成风险承受能力评估。</w:t>
      </w:r>
    </w:p>
    <w:p>
      <w:pPr>
        <w:spacing w:line="400" w:lineRule="exact"/>
        <w:ind w:firstLine="480" w:firstLineChars="200"/>
        <w:rPr>
          <w:rFonts w:ascii="华文仿宋" w:hAnsi="华文仿宋" w:eastAsia="华文仿宋"/>
          <w:sz w:val="24"/>
          <w:szCs w:val="24"/>
        </w:rPr>
      </w:pPr>
      <w:r>
        <w:rPr>
          <w:rFonts w:hint="eastAsia" w:ascii="仿宋" w:hAnsi="仿宋" w:eastAsia="仿宋" w:cs="方正仿宋_GBK"/>
          <w:color w:val="000000"/>
          <w:kern w:val="0"/>
          <w:sz w:val="24"/>
          <w:szCs w:val="24"/>
        </w:rPr>
        <w:t>请您仔细阅读风险揭示书及本产品相关的销售文件，了解理财产品的具体情况，充分认识投资风险，谨慎投资。</w:t>
      </w:r>
    </w:p>
    <w:p>
      <w:pPr>
        <w:spacing w:line="400" w:lineRule="exact"/>
        <w:ind w:firstLine="480" w:firstLineChars="200"/>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本产品为封闭式净值型理财产品，期限</w:t>
      </w:r>
      <w:r>
        <w:rPr>
          <w:rFonts w:hint="eastAsia" w:ascii="仿宋" w:hAnsi="仿宋" w:eastAsia="仿宋" w:cs="方正仿宋_GBK"/>
          <w:color w:val="000000"/>
          <w:kern w:val="0"/>
          <w:sz w:val="24"/>
          <w:szCs w:val="24"/>
          <w:highlight w:val="none"/>
        </w:rPr>
        <w:t>：</w:t>
      </w:r>
      <w:r>
        <w:rPr>
          <w:rFonts w:hint="eastAsia" w:ascii="仿宋" w:hAnsi="仿宋" w:eastAsia="仿宋" w:cs="方正仿宋_GBK"/>
          <w:color w:val="000000"/>
          <w:kern w:val="0"/>
          <w:sz w:val="24"/>
          <w:szCs w:val="24"/>
          <w:highlight w:val="none"/>
          <w:lang w:val="en-US" w:eastAsia="zh-CN"/>
        </w:rPr>
        <w:t>268</w:t>
      </w:r>
      <w:bookmarkStart w:id="0" w:name="_GoBack"/>
      <w:bookmarkEnd w:id="0"/>
      <w:r>
        <w:rPr>
          <w:rFonts w:hint="eastAsia" w:ascii="仿宋" w:hAnsi="仿宋" w:eastAsia="仿宋" w:cs="方正仿宋_GBK"/>
          <w:color w:val="000000"/>
          <w:kern w:val="0"/>
          <w:sz w:val="24"/>
          <w:szCs w:val="24"/>
        </w:rPr>
        <w:t>天，</w:t>
      </w:r>
      <w:r>
        <w:rPr>
          <w:rFonts w:hint="eastAsia" w:ascii="仿宋" w:hAnsi="仿宋" w:eastAsia="仿宋"/>
          <w:sz w:val="24"/>
          <w:szCs w:val="24"/>
        </w:rPr>
        <w:t>本理财产品不保证本金和收益，本</w:t>
      </w:r>
      <w:r>
        <w:rPr>
          <w:rFonts w:hint="eastAsia" w:ascii="仿宋" w:hAnsi="仿宋" w:eastAsia="仿宋" w:cs="方正仿宋_GBK"/>
          <w:color w:val="000000"/>
          <w:kern w:val="0"/>
          <w:sz w:val="24"/>
          <w:szCs w:val="24"/>
        </w:rPr>
        <w:t>产品内部风险评级见下表：</w:t>
      </w:r>
    </w:p>
    <w:tbl>
      <w:tblPr>
        <w:tblStyle w:val="7"/>
        <w:tblW w:w="8647" w:type="dxa"/>
        <w:tblInd w:w="392" w:type="dxa"/>
        <w:tblLayout w:type="fixed"/>
        <w:tblCellMar>
          <w:top w:w="15" w:type="dxa"/>
          <w:left w:w="108" w:type="dxa"/>
          <w:bottom w:w="15" w:type="dxa"/>
          <w:right w:w="108" w:type="dxa"/>
        </w:tblCellMar>
      </w:tblPr>
      <w:tblGrid>
        <w:gridCol w:w="992"/>
        <w:gridCol w:w="708"/>
        <w:gridCol w:w="993"/>
        <w:gridCol w:w="4394"/>
        <w:gridCol w:w="1560"/>
      </w:tblGrid>
      <w:tr>
        <w:tblPrEx>
          <w:tblLayout w:type="fixed"/>
          <w:tblCellMar>
            <w:top w:w="15" w:type="dxa"/>
            <w:left w:w="108" w:type="dxa"/>
            <w:bottom w:w="15" w:type="dxa"/>
            <w:right w:w="108" w:type="dxa"/>
          </w:tblCellMar>
        </w:tblPrEx>
        <w:trPr>
          <w:trHeight w:val="836" w:hRule="atLeast"/>
        </w:trPr>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本产品内部风险评级属于</w:t>
            </w:r>
            <w:r>
              <w:rPr>
                <w:rFonts w:hint="eastAsia" w:ascii="华文仿宋" w:hAnsi="华文仿宋" w:eastAsia="华文仿宋"/>
                <w:kern w:val="44"/>
                <w:sz w:val="18"/>
                <w:szCs w:val="18"/>
              </w:rPr>
              <w:sym w:font="Wingdings 2" w:char="F052"/>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产品风险标识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产品</w:t>
            </w:r>
          </w:p>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风险</w:t>
            </w:r>
          </w:p>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评级</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产品风险及收益特征描述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适用风险评级</w:t>
            </w:r>
          </w:p>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客群</w:t>
            </w:r>
          </w:p>
        </w:tc>
      </w:tr>
      <w:tr>
        <w:tblPrEx>
          <w:tblLayout w:type="fixed"/>
          <w:tblCellMar>
            <w:top w:w="15" w:type="dxa"/>
            <w:left w:w="108" w:type="dxa"/>
            <w:bottom w:w="15" w:type="dxa"/>
            <w:right w:w="108" w:type="dxa"/>
          </w:tblCellMar>
        </w:tblPrEx>
        <w:trPr>
          <w:trHeight w:val="1035" w:hRule="atLeast"/>
        </w:trPr>
        <w:tc>
          <w:tcPr>
            <w:tcW w:w="99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rPr>
                <w:rFonts w:ascii="华文仿宋" w:hAnsi="华文仿宋" w:eastAsia="华文仿宋"/>
                <w:kern w:val="44"/>
                <w:sz w:val="18"/>
                <w:szCs w:val="18"/>
              </w:rPr>
            </w:pPr>
          </w:p>
          <w:p>
            <w:pPr>
              <w:widowControl/>
              <w:spacing w:line="240" w:lineRule="exact"/>
              <w:jc w:val="center"/>
              <w:rPr>
                <w:rFonts w:ascii="华文仿宋" w:hAnsi="华文仿宋" w:eastAsia="华文仿宋"/>
                <w:kern w:val="44"/>
                <w:sz w:val="18"/>
                <w:szCs w:val="18"/>
              </w:rPr>
            </w:pPr>
            <w:r>
              <w:rPr>
                <w:rFonts w:hint="eastAsia" w:ascii="华文仿宋" w:hAnsi="华文仿宋" w:eastAsia="华文仿宋"/>
                <w:kern w:val="44"/>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低风险</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产品总体风险程度低，收益波动小，产品本金安全性高，收益不能实现的可能性很小，产品本金出现损失的可能性小。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保守型、稳健型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平衡型、成长型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r>
        <w:tblPrEx>
          <w:tblLayout w:type="fixed"/>
          <w:tblCellMar>
            <w:top w:w="15" w:type="dxa"/>
            <w:left w:w="108" w:type="dxa"/>
            <w:bottom w:w="15" w:type="dxa"/>
            <w:right w:w="108" w:type="dxa"/>
          </w:tblCellMar>
        </w:tblPrEx>
        <w:trPr>
          <w:trHeight w:val="908" w:hRule="atLeast"/>
        </w:trPr>
        <w:tc>
          <w:tcPr>
            <w:tcW w:w="99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rPr>
                <w:rFonts w:ascii="华文仿宋" w:hAnsi="华文仿宋" w:eastAsia="华文仿宋"/>
                <w:kern w:val="44"/>
                <w:sz w:val="18"/>
                <w:szCs w:val="18"/>
              </w:rPr>
            </w:pPr>
          </w:p>
          <w:p>
            <w:pPr>
              <w:widowControl/>
              <w:spacing w:line="240" w:lineRule="exact"/>
              <w:ind w:firstLine="270" w:firstLineChars="150"/>
              <w:rPr>
                <w:rFonts w:ascii="华文仿宋" w:hAnsi="华文仿宋" w:eastAsia="华文仿宋"/>
                <w:kern w:val="44"/>
                <w:sz w:val="18"/>
                <w:szCs w:val="18"/>
              </w:rPr>
            </w:pPr>
            <w:r>
              <w:rPr>
                <w:rFonts w:hint="eastAsia" w:ascii="华文仿宋" w:hAnsi="华文仿宋" w:eastAsia="华文仿宋"/>
                <w:kern w:val="44"/>
                <w:sz w:val="18"/>
                <w:szCs w:val="18"/>
              </w:rPr>
              <w:sym w:font="Wingdings 2" w:char="F052"/>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中低风险</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产品总体风险程度较低，收益波动较小，虽然存在一些可能对产品本金和收益安全产生不利影响的因素，但产品本金出现损失的可能性较小。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稳健型、平衡型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成长型、进取型</w:t>
            </w:r>
          </w:p>
        </w:tc>
      </w:tr>
      <w:tr>
        <w:tblPrEx>
          <w:tblLayout w:type="fixed"/>
          <w:tblCellMar>
            <w:top w:w="15" w:type="dxa"/>
            <w:left w:w="108" w:type="dxa"/>
            <w:bottom w:w="15" w:type="dxa"/>
            <w:right w:w="108" w:type="dxa"/>
          </w:tblCellMar>
        </w:tblPrEx>
        <w:trPr>
          <w:trHeight w:val="616" w:hRule="atLeast"/>
        </w:trPr>
        <w:tc>
          <w:tcPr>
            <w:tcW w:w="99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rPr>
                <w:rFonts w:ascii="华文仿宋" w:hAnsi="华文仿宋" w:eastAsia="华文仿宋"/>
                <w:kern w:val="44"/>
                <w:sz w:val="18"/>
                <w:szCs w:val="18"/>
              </w:rPr>
            </w:pPr>
          </w:p>
          <w:p>
            <w:pPr>
              <w:widowControl/>
              <w:spacing w:line="240" w:lineRule="exact"/>
              <w:jc w:val="center"/>
              <w:rPr>
                <w:rFonts w:ascii="华文仿宋" w:hAnsi="华文仿宋" w:eastAsia="华文仿宋"/>
                <w:kern w:val="44"/>
                <w:sz w:val="18"/>
                <w:szCs w:val="18"/>
              </w:rPr>
            </w:pPr>
            <w:r>
              <w:rPr>
                <w:rFonts w:hint="eastAsia" w:ascii="华文仿宋" w:hAnsi="华文仿宋" w:eastAsia="华文仿宋"/>
                <w:kern w:val="44"/>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中等风险</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产品总体风险程度适中，收益存在一定的波动，产品本金出现损失的可能性不容忽视。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平衡型、成长型</w:t>
            </w:r>
          </w:p>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r>
        <w:tblPrEx>
          <w:tblLayout w:type="fixed"/>
          <w:tblCellMar>
            <w:top w:w="15" w:type="dxa"/>
            <w:left w:w="108" w:type="dxa"/>
            <w:bottom w:w="15" w:type="dxa"/>
            <w:right w:w="108" w:type="dxa"/>
          </w:tblCellMar>
        </w:tblPrEx>
        <w:trPr>
          <w:trHeight w:val="554" w:hRule="atLeast"/>
        </w:trPr>
        <w:tc>
          <w:tcPr>
            <w:tcW w:w="99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rPr>
                <w:rFonts w:ascii="华文仿宋" w:hAnsi="华文仿宋" w:eastAsia="华文仿宋"/>
                <w:kern w:val="44"/>
                <w:sz w:val="18"/>
                <w:szCs w:val="18"/>
              </w:rPr>
            </w:pPr>
          </w:p>
          <w:p>
            <w:pPr>
              <w:widowControl/>
              <w:spacing w:line="240" w:lineRule="exact"/>
              <w:jc w:val="center"/>
              <w:rPr>
                <w:rFonts w:ascii="华文仿宋" w:hAnsi="华文仿宋" w:eastAsia="华文仿宋"/>
                <w:kern w:val="44"/>
                <w:sz w:val="18"/>
                <w:szCs w:val="18"/>
              </w:rPr>
            </w:pPr>
            <w:r>
              <w:rPr>
                <w:rFonts w:hint="eastAsia" w:ascii="华文仿宋" w:hAnsi="华文仿宋" w:eastAsia="华文仿宋"/>
                <w:kern w:val="44"/>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较高风险</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产品总体风险程度较高，收益波动较明显，产品本金出现损失的可能性高。</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成长型、进取型</w:t>
            </w:r>
          </w:p>
        </w:tc>
      </w:tr>
      <w:tr>
        <w:tblPrEx>
          <w:tblLayout w:type="fixed"/>
          <w:tblCellMar>
            <w:top w:w="15" w:type="dxa"/>
            <w:left w:w="108" w:type="dxa"/>
            <w:bottom w:w="15" w:type="dxa"/>
            <w:right w:w="108" w:type="dxa"/>
          </w:tblCellMar>
        </w:tblPrEx>
        <w:trPr>
          <w:trHeight w:val="375" w:hRule="atLeast"/>
        </w:trPr>
        <w:tc>
          <w:tcPr>
            <w:tcW w:w="99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rPr>
                <w:rFonts w:ascii="华文仿宋" w:hAnsi="华文仿宋" w:eastAsia="华文仿宋"/>
                <w:kern w:val="44"/>
                <w:sz w:val="18"/>
                <w:szCs w:val="18"/>
              </w:rPr>
            </w:pPr>
          </w:p>
          <w:p>
            <w:pPr>
              <w:widowControl/>
              <w:spacing w:line="240" w:lineRule="exact"/>
              <w:jc w:val="center"/>
              <w:rPr>
                <w:rFonts w:ascii="华文仿宋" w:hAnsi="华文仿宋" w:eastAsia="华文仿宋"/>
                <w:kern w:val="44"/>
                <w:sz w:val="18"/>
                <w:szCs w:val="18"/>
              </w:rPr>
            </w:pPr>
            <w:r>
              <w:rPr>
                <w:rFonts w:hint="eastAsia" w:ascii="华文仿宋" w:hAnsi="华文仿宋" w:eastAsia="华文仿宋"/>
                <w:kern w:val="44"/>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华文仿宋" w:hAnsi="华文仿宋" w:eastAsia="华文仿宋"/>
                <w:kern w:val="44"/>
                <w:sz w:val="18"/>
                <w:szCs w:val="18"/>
              </w:rPr>
            </w:pPr>
            <w:r>
              <w:rPr>
                <w:rFonts w:hint="eastAsia" w:ascii="华文仿宋" w:hAnsi="华文仿宋" w:eastAsia="华文仿宋"/>
                <w:kern w:val="44"/>
                <w:sz w:val="18"/>
                <w:szCs w:val="18"/>
              </w:rPr>
              <w:t>R5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高风险</w:t>
            </w:r>
          </w:p>
        </w:tc>
        <w:tc>
          <w:tcPr>
            <w:tcW w:w="43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产品总体风险程度高，收益波动明显，产品本金出现损失的可能性很高，产品本金出现全部损失的可能性不容忽视。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kern w:val="44"/>
                <w:sz w:val="18"/>
                <w:szCs w:val="18"/>
              </w:rPr>
            </w:pPr>
            <w:r>
              <w:rPr>
                <w:rFonts w:hint="eastAsia" w:ascii="华文仿宋" w:hAnsi="华文仿宋" w:eastAsia="华文仿宋"/>
                <w:kern w:val="44"/>
                <w:sz w:val="18"/>
                <w:szCs w:val="18"/>
              </w:rPr>
              <w:t>进取型</w:t>
            </w:r>
          </w:p>
        </w:tc>
      </w:tr>
    </w:tbl>
    <w:p>
      <w:pPr>
        <w:spacing w:line="400" w:lineRule="exact"/>
        <w:ind w:firstLine="482" w:firstLineChars="200"/>
        <w:rPr>
          <w:rFonts w:ascii="仿宋" w:hAnsi="仿宋" w:eastAsia="仿宋" w:cs="方正仿宋_GBK"/>
          <w:b/>
          <w:color w:val="000000"/>
          <w:kern w:val="0"/>
          <w:sz w:val="24"/>
          <w:szCs w:val="24"/>
        </w:rPr>
      </w:pPr>
      <w:r>
        <w:rPr>
          <w:rFonts w:hint="eastAsia" w:ascii="仿宋" w:hAnsi="仿宋" w:eastAsia="仿宋" w:cs="方正仿宋_GBK"/>
          <w:b/>
          <w:color w:val="000000"/>
          <w:kern w:val="0"/>
          <w:sz w:val="24"/>
          <w:szCs w:val="24"/>
        </w:rPr>
        <w:t>客户投资本产品可能面临的风险主要包括但不限于以下风险：</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1、</w:t>
      </w:r>
      <w:r>
        <w:rPr>
          <w:rFonts w:ascii="华文仿宋" w:hAnsi="华文仿宋" w:eastAsia="华文仿宋"/>
          <w:b/>
          <w:sz w:val="24"/>
          <w:szCs w:val="24"/>
        </w:rPr>
        <w:t>政策风险：</w:t>
      </w:r>
      <w:r>
        <w:rPr>
          <w:rFonts w:hint="eastAsia" w:ascii="华文仿宋" w:hAnsi="华文仿宋" w:eastAsia="华文仿宋"/>
          <w:sz w:val="24"/>
          <w:szCs w:val="24"/>
        </w:rPr>
        <w:t>本理财产品是根据当前的相关法规和政策设计的，如国家宏观政策以及市场相关法规政策发生变化，可能影响理财产品的受理、投资、偿还等流程的正常进行，并导致本产品收益甚至本金损失。</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2、市场风险：</w:t>
      </w:r>
      <w:r>
        <w:rPr>
          <w:rFonts w:hint="eastAsia" w:ascii="华文仿宋" w:hAnsi="华文仿宋" w:eastAsia="华文仿宋"/>
          <w:sz w:val="24"/>
          <w:szCs w:val="24"/>
        </w:rPr>
        <w:t>本理财产品对应的投资组合，因国家政策、经济周期等因素可能发生变化，导致投资品种的市场价格发生波动，由此可能导致本理财产品遭受损失。</w:t>
      </w:r>
    </w:p>
    <w:p>
      <w:pPr>
        <w:spacing w:line="400" w:lineRule="exact"/>
        <w:ind w:firstLine="480"/>
        <w:rPr>
          <w:rFonts w:ascii="华文仿宋" w:hAnsi="华文仿宋" w:eastAsia="华文仿宋" w:cs="方正仿宋_GBK"/>
          <w:color w:val="000000"/>
          <w:kern w:val="0"/>
          <w:sz w:val="24"/>
          <w:szCs w:val="24"/>
        </w:rPr>
      </w:pPr>
      <w:r>
        <w:rPr>
          <w:rFonts w:hint="eastAsia" w:ascii="华文仿宋" w:hAnsi="华文仿宋" w:eastAsia="华文仿宋"/>
          <w:b/>
          <w:sz w:val="24"/>
          <w:szCs w:val="24"/>
        </w:rPr>
        <w:t>3、信用风险：</w:t>
      </w:r>
      <w:r>
        <w:rPr>
          <w:rFonts w:hint="eastAsia" w:ascii="华文仿宋" w:hAnsi="华文仿宋" w:eastAsia="华文仿宋" w:cs="方正仿宋_GBK"/>
          <w:color w:val="000000"/>
          <w:kern w:val="0"/>
          <w:sz w:val="24"/>
          <w:szCs w:val="24"/>
        </w:rPr>
        <w:t>本理财产品所投资的债券或其他资产，可能因债务人违约或者其他原因在投资周期届满时不能足额变现，由此可能导致</w:t>
      </w:r>
      <w:r>
        <w:rPr>
          <w:rFonts w:hint="eastAsia" w:ascii="华文仿宋" w:hAnsi="华文仿宋" w:eastAsia="华文仿宋"/>
          <w:sz w:val="24"/>
          <w:szCs w:val="24"/>
        </w:rPr>
        <w:t>客户面临收益损失、本金部分损失、甚至本金全部损失的风险</w:t>
      </w:r>
      <w:r>
        <w:rPr>
          <w:rFonts w:hint="eastAsia" w:ascii="华文仿宋" w:hAnsi="华文仿宋" w:eastAsia="华文仿宋" w:cs="方正仿宋_GBK"/>
          <w:color w:val="000000"/>
          <w:kern w:val="0"/>
          <w:sz w:val="24"/>
          <w:szCs w:val="24"/>
        </w:rPr>
        <w:t>。</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4、流动性风险：</w:t>
      </w:r>
      <w:r>
        <w:rPr>
          <w:rFonts w:hint="eastAsia" w:ascii="华文仿宋" w:hAnsi="华文仿宋" w:eastAsia="华文仿宋"/>
          <w:sz w:val="24"/>
          <w:szCs w:val="24"/>
        </w:rPr>
        <w:t>除本产品说明书另有约定外，在投资周期内客户无提前终止权，如果客户在投资周期内产生流动性需求，可能面临理财产品不能随时变现的流动性风险;在投资周期内允许赎回的，若发生巨额赎回，客户将面临不能及时赎回理财产品的风险。</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5、信息传递风险：</w:t>
      </w:r>
      <w:r>
        <w:rPr>
          <w:rFonts w:hint="eastAsia" w:ascii="华文仿宋" w:hAnsi="华文仿宋" w:eastAsia="华文仿宋"/>
          <w:sz w:val="24"/>
          <w:szCs w:val="24"/>
        </w:rPr>
        <w:t>新疆银行将按照产品说明书有关“信息披露”的约定进行产品信息披露。客户应根据本理财产品说明书所载明的公告方式及时查询本理财产品的相关信息。如果客户未及时查询，或由于通讯故障、系统故障以及其他不可抗力等因素的影响使得客户无法及时了解产品信息，并由此影响客户的投资决策，因此而产生的责任和风险由客户自行承担。</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6、管理风险：</w:t>
      </w:r>
      <w:r>
        <w:rPr>
          <w:rFonts w:hint="eastAsia" w:ascii="华文仿宋" w:hAnsi="华文仿宋" w:eastAsia="华文仿宋"/>
          <w:sz w:val="24"/>
          <w:szCs w:val="24"/>
        </w:rPr>
        <w:t>在产品运作过程中，由于产品管理人或理财投资相关服务机构资产管理方面知识、经验、判断、决策、技能等主观因素的限制对产品的运作及管理造成一定影响，并因此影响客户收益，</w:t>
      </w:r>
      <w:r>
        <w:rPr>
          <w:rFonts w:ascii="华文仿宋" w:hAnsi="华文仿宋" w:eastAsia="华文仿宋"/>
          <w:sz w:val="24"/>
          <w:szCs w:val="24"/>
        </w:rPr>
        <w:t xml:space="preserve"> 甚至造成本产品本金损失的风险</w:t>
      </w:r>
      <w:r>
        <w:rPr>
          <w:rFonts w:hint="eastAsia" w:ascii="华文仿宋" w:hAnsi="华文仿宋" w:eastAsia="华文仿宋"/>
          <w:sz w:val="24"/>
          <w:szCs w:val="24"/>
        </w:rPr>
        <w:t>。</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7、产品不成立风险：</w:t>
      </w:r>
      <w:r>
        <w:rPr>
          <w:rFonts w:hint="eastAsia" w:ascii="华文仿宋" w:hAnsi="华文仿宋" w:eastAsia="华文仿宋"/>
          <w:sz w:val="24"/>
          <w:szCs w:val="24"/>
        </w:rPr>
        <w:t>如产品募集期届满、认购总份数未达到规模下限（如有约定），或产品募集期内，出现市场剧烈波动、相关法规政策变化或新疆银行合理认为可能影响本理财产品正常运作的其他情况，新疆银行有权宣布理财产品不成立，投资者将无法按约定购买理财产品，因此产生的后果由投资者承担。</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8、兑付延期风险：</w:t>
      </w:r>
      <w:r>
        <w:rPr>
          <w:rFonts w:hint="eastAsia" w:ascii="华文仿宋" w:hAnsi="华文仿宋" w:eastAsia="华文仿宋"/>
          <w:sz w:val="24"/>
          <w:szCs w:val="24"/>
        </w:rPr>
        <w:t>因本理财产品项下对应的投资标的变现不及时等原因造成本理财产品不能按时支付赎回金额，则客户面临产品期限延期、调整等风险。</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9、</w:t>
      </w:r>
      <w:r>
        <w:rPr>
          <w:rFonts w:ascii="华文仿宋" w:hAnsi="华文仿宋" w:eastAsia="华文仿宋"/>
          <w:b/>
          <w:sz w:val="24"/>
          <w:szCs w:val="24"/>
        </w:rPr>
        <w:t>税</w:t>
      </w:r>
      <w:r>
        <w:rPr>
          <w:rFonts w:hint="eastAsia" w:ascii="华文仿宋" w:hAnsi="华文仿宋" w:eastAsia="华文仿宋"/>
          <w:b/>
          <w:sz w:val="24"/>
          <w:szCs w:val="24"/>
        </w:rPr>
        <w:t>务</w:t>
      </w:r>
      <w:r>
        <w:rPr>
          <w:rFonts w:ascii="华文仿宋" w:hAnsi="华文仿宋" w:eastAsia="华文仿宋"/>
          <w:b/>
          <w:sz w:val="24"/>
          <w:szCs w:val="24"/>
        </w:rPr>
        <w:t>风险：</w:t>
      </w:r>
      <w:r>
        <w:rPr>
          <w:rFonts w:hint="eastAsia" w:ascii="华文仿宋" w:hAnsi="华文仿宋" w:eastAsia="华文仿宋"/>
          <w:sz w:val="24"/>
          <w:szCs w:val="24"/>
        </w:rPr>
        <w:t>新疆</w:t>
      </w:r>
      <w:r>
        <w:rPr>
          <w:rFonts w:ascii="华文仿宋" w:hAnsi="华文仿宋" w:eastAsia="华文仿宋"/>
          <w:sz w:val="24"/>
          <w:szCs w:val="24"/>
        </w:rPr>
        <w:t>银行暂不负责代扣代缴客户</w:t>
      </w:r>
      <w:r>
        <w:rPr>
          <w:rFonts w:hint="eastAsia" w:ascii="华文仿宋" w:hAnsi="华文仿宋" w:eastAsia="华文仿宋"/>
          <w:sz w:val="24"/>
          <w:szCs w:val="24"/>
        </w:rPr>
        <w:t>投资</w:t>
      </w:r>
      <w:r>
        <w:rPr>
          <w:rFonts w:ascii="华文仿宋" w:hAnsi="华文仿宋" w:eastAsia="华文仿宋"/>
          <w:sz w:val="24"/>
          <w:szCs w:val="24"/>
        </w:rPr>
        <w:t>本产品所得收益应缴纳的各</w:t>
      </w:r>
      <w:r>
        <w:rPr>
          <w:rFonts w:hint="eastAsia" w:ascii="华文仿宋" w:hAnsi="华文仿宋" w:eastAsia="华文仿宋"/>
          <w:sz w:val="24"/>
          <w:szCs w:val="24"/>
        </w:rPr>
        <w:t>项税款。若相关税法法规规定产品管理人应代扣代缴相关税款，新疆银行有权依法履行代扣代缴义务，则客户面临其取得的收益扣减相应税费的风险。此外，税收法规的执行及修订可能对本产品投资运作等过程中需缴纳的相关税费产生影响，可能影响客户收益，甚至造成产品本金损失。</w:t>
      </w:r>
    </w:p>
    <w:p>
      <w:pPr>
        <w:spacing w:line="400" w:lineRule="exact"/>
        <w:ind w:firstLine="480"/>
        <w:rPr>
          <w:rFonts w:ascii="华文仿宋" w:hAnsi="华文仿宋" w:eastAsia="华文仿宋"/>
          <w:sz w:val="24"/>
          <w:szCs w:val="24"/>
        </w:rPr>
      </w:pPr>
      <w:r>
        <w:rPr>
          <w:rFonts w:hint="eastAsia" w:ascii="华文仿宋" w:hAnsi="华文仿宋" w:eastAsia="华文仿宋"/>
          <w:b/>
          <w:sz w:val="24"/>
          <w:szCs w:val="24"/>
        </w:rPr>
        <w:t>10、不可抗力及意外事件风险：</w:t>
      </w:r>
      <w:r>
        <w:rPr>
          <w:rFonts w:hint="eastAsia" w:ascii="华文仿宋" w:hAnsi="华文仿宋" w:eastAsia="华文仿宋"/>
          <w:sz w:val="24"/>
          <w:szCs w:val="24"/>
        </w:rPr>
        <w:t>包括但不限于自然灾害、金融市场危机、战争或国家政策变化等不能预见、不能避免、不能克服的不可抗力事件或系统故障、通讯故障等意外事件的发生，可能对产品的成立、投资运作、资金返还、信息披露、公告通知等造成影响，甚至可能导致产品收益乃至产品本金损失。对于因不可抗力及意外事件风险导致的任何损失，客户须自行承担，新疆银行对此不承担责任。</w:t>
      </w:r>
    </w:p>
    <w:p>
      <w:pPr>
        <w:spacing w:line="400" w:lineRule="exact"/>
        <w:ind w:firstLine="480"/>
        <w:rPr>
          <w:rFonts w:ascii="华文仿宋" w:hAnsi="华文仿宋" w:eastAsia="华文仿宋"/>
          <w:b/>
          <w:sz w:val="24"/>
          <w:szCs w:val="24"/>
        </w:rPr>
      </w:pPr>
      <w:r>
        <w:rPr>
          <w:rFonts w:hint="eastAsia" w:ascii="华文仿宋" w:hAnsi="华文仿宋" w:eastAsia="华文仿宋"/>
          <w:b/>
          <w:sz w:val="24"/>
          <w:szCs w:val="24"/>
        </w:rPr>
        <w:t>11、最不利情形下的投资结果示例：</w:t>
      </w:r>
    </w:p>
    <w:p>
      <w:pPr>
        <w:widowControl/>
        <w:wordWrap w:val="0"/>
        <w:spacing w:before="75" w:after="75" w:line="400" w:lineRule="exact"/>
        <w:ind w:firstLine="480" w:firstLineChars="200"/>
        <w:jc w:val="left"/>
        <w:rPr>
          <w:rFonts w:ascii="华文仿宋" w:hAnsi="华文仿宋" w:eastAsia="华文仿宋"/>
          <w:b/>
          <w:sz w:val="24"/>
          <w:szCs w:val="24"/>
        </w:rPr>
      </w:pPr>
      <w:r>
        <w:rPr>
          <w:rFonts w:hint="eastAsia" w:ascii="华文仿宋" w:hAnsi="华文仿宋" w:eastAsia="华文仿宋"/>
          <w:b/>
          <w:sz w:val="24"/>
          <w:szCs w:val="24"/>
        </w:rPr>
        <w:t>最不利情况，扣销售管理费、托管费、固定管理费后，投资发生亏损。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 100,000.00×（ 0.99-1.00） = -1000（元）（测算收益不等于实际收益，投资须谨慎）</w:t>
      </w:r>
    </w:p>
    <w:p>
      <w:pPr>
        <w:spacing w:line="400" w:lineRule="exact"/>
        <w:ind w:firstLine="4560" w:firstLineChars="1900"/>
        <w:rPr>
          <w:rFonts w:ascii="华文仿宋" w:hAnsi="华文仿宋" w:eastAsia="华文仿宋"/>
          <w:b/>
          <w:sz w:val="24"/>
          <w:szCs w:val="24"/>
        </w:rPr>
      </w:pPr>
      <w:r>
        <w:rPr>
          <w:rFonts w:ascii="华文仿宋" w:hAnsi="华文仿宋" w:eastAsia="华文仿宋"/>
          <w:sz w:val="24"/>
          <w:szCs w:val="24"/>
        </w:rPr>
        <w:pict>
          <v:shape id="_x0000_s1026" o:spid="_x0000_s1026" o:spt="202" type="#_x0000_t202" style="position:absolute;left:0pt;margin-left:-49.5pt;margin-top:28.2pt;height:279.75pt;width:531.75pt;z-index:251658240;mso-width-relative:page;mso-height-relative:page;" coordsize="21600,21600" o:gfxdata="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rF+FtoAAAAKAQAADwAAAAAAAAABACAAAAAiAAAAZHJzL2Rvd25yZXYueG1sUEsBAhQA&#10;FAAAAAgAh07iQFA0Oc3wAQAA6QMAAA4AAAAAAAAAAQAgAAAAKQEAAGRycy9lMm9Eb2MueG1sUEsF&#10;BgAAAAAGAAYAWQEAAIsFAAAAAA==&#10;">
            <v:path/>
            <v:fill focussize="0,0"/>
            <v:stroke joinstyle="miter"/>
            <v:imagedata o:title=""/>
            <o:lock v:ext="edit"/>
            <v:textbox>
              <w:txbxContent>
                <w:p>
                  <w:pPr>
                    <w:spacing w:line="360" w:lineRule="exact"/>
                    <w:jc w:val="center"/>
                    <w:rPr>
                      <w:rFonts w:ascii="华文仿宋" w:hAnsi="华文仿宋" w:eastAsia="华文仿宋" w:cs="Arial"/>
                      <w:b/>
                      <w:szCs w:val="21"/>
                    </w:rPr>
                  </w:pPr>
                  <w:r>
                    <w:rPr>
                      <w:rFonts w:hint="eastAsia" w:ascii="华文仿宋" w:hAnsi="华文仿宋" w:eastAsia="华文仿宋" w:cs="Arial"/>
                      <w:b/>
                      <w:szCs w:val="21"/>
                    </w:rPr>
                    <w:t>客户确认栏</w:t>
                  </w:r>
                </w:p>
                <w:p>
                  <w:pPr>
                    <w:spacing w:line="360" w:lineRule="exact"/>
                    <w:ind w:firstLine="420" w:firstLineChars="200"/>
                    <w:rPr>
                      <w:rFonts w:ascii="华文仿宋" w:hAnsi="华文仿宋" w:eastAsia="华文仿宋" w:cs="Times New Roman"/>
                      <w:szCs w:val="21"/>
                    </w:rPr>
                  </w:pPr>
                  <w:r>
                    <w:rPr>
                      <w:rFonts w:hint="eastAsia" w:ascii="华文仿宋" w:hAnsi="华文仿宋" w:eastAsia="华文仿宋" w:cs="Times New Roman"/>
                      <w:szCs w:val="21"/>
                    </w:rPr>
                    <w:t>本人已仔细阅读理财产品销售文件，己完全理解理财产品投资的性质和面临的风险，</w:t>
                  </w:r>
                  <w:r>
                    <w:rPr>
                      <w:rFonts w:hint="eastAsia" w:ascii="华文仿宋" w:hAnsi="华文仿宋" w:eastAsia="华文仿宋" w:cs="Times New Roman"/>
                      <w:b/>
                      <w:szCs w:val="21"/>
                    </w:rPr>
                    <w:t>本人确认新疆银行相关业务人员对于理财产品销售文件中限制本人权利、增加本人义务以及有关免除、限制新疆银行责任或新疆银行单方面拥有某些权利的条款已向本人予以说明，本人完全理解并自愿接受。</w:t>
                  </w:r>
                </w:p>
                <w:p>
                  <w:pPr>
                    <w:spacing w:line="360" w:lineRule="exact"/>
                    <w:ind w:firstLine="420" w:firstLineChars="200"/>
                    <w:rPr>
                      <w:rFonts w:ascii="华文仿宋" w:hAnsi="华文仿宋" w:eastAsia="华文仿宋" w:cs="Times New Roman"/>
                      <w:szCs w:val="21"/>
                    </w:rPr>
                  </w:pPr>
                  <w:r>
                    <w:rPr>
                      <w:rFonts w:hint="eastAsia" w:ascii="华文仿宋" w:hAnsi="华文仿宋" w:eastAsia="华文仿宋" w:cs="Times New Roman"/>
                      <w:szCs w:val="21"/>
                    </w:rPr>
                    <w:t>客户确认风险承受能力评级（由客户填写）：</w:t>
                  </w:r>
                </w:p>
                <w:p>
                  <w:pPr>
                    <w:spacing w:line="360" w:lineRule="exact"/>
                    <w:ind w:firstLine="420" w:firstLineChars="200"/>
                    <w:rPr>
                      <w:rFonts w:ascii="华文仿宋" w:hAnsi="华文仿宋" w:eastAsia="华文仿宋" w:cs="Times New Roman"/>
                      <w:szCs w:val="21"/>
                    </w:rPr>
                  </w:pPr>
                  <w:r>
                    <w:rPr>
                      <w:rFonts w:hint="eastAsia" w:ascii="华文仿宋" w:hAnsi="华文仿宋" w:eastAsia="华文仿宋" w:cs="Times New Roman"/>
                      <w:szCs w:val="21"/>
                    </w:rPr>
                    <w:t>□保守型、□稳健型、□平衡型、□成长型、□进取型</w:t>
                  </w:r>
                </w:p>
                <w:p>
                  <w:pPr>
                    <w:spacing w:line="360" w:lineRule="exact"/>
                    <w:ind w:firstLine="420" w:firstLineChars="200"/>
                    <w:rPr>
                      <w:rFonts w:ascii="华文仿宋" w:hAnsi="华文仿宋" w:eastAsia="华文仿宋" w:cs="Times New Roman"/>
                      <w:szCs w:val="21"/>
                    </w:rPr>
                  </w:pPr>
                  <w:r>
                    <w:rPr>
                      <w:rFonts w:hint="eastAsia" w:ascii="华文仿宋" w:hAnsi="华文仿宋" w:eastAsia="华文仿宋" w:cs="Times New Roman"/>
                      <w:szCs w:val="21"/>
                    </w:rPr>
                    <w:t>客户需抄录的内容：</w:t>
                  </w:r>
                  <w:r>
                    <w:rPr>
                      <w:rFonts w:hint="eastAsia" w:ascii="华文仿宋" w:hAnsi="华文仿宋" w:eastAsia="华文仿宋" w:cs="Times New Roman"/>
                      <w:b/>
                      <w:szCs w:val="21"/>
                    </w:rPr>
                    <w:t>本人已经阅读风险揭示，愿意承担投资风险。</w:t>
                  </w:r>
                </w:p>
                <w:p>
                  <w:pPr>
                    <w:spacing w:line="360" w:lineRule="exact"/>
                    <w:ind w:firstLine="420" w:firstLineChars="200"/>
                    <w:rPr>
                      <w:rFonts w:ascii="华文仿宋" w:hAnsi="华文仿宋" w:eastAsia="华文仿宋" w:cs="Times New Roman"/>
                      <w:szCs w:val="21"/>
                    </w:rPr>
                  </w:pPr>
                  <w:r>
                    <w:rPr>
                      <w:rFonts w:hint="eastAsia" w:ascii="华文仿宋" w:hAnsi="华文仿宋" w:eastAsia="华文仿宋" w:cs="Times New Roman"/>
                      <w:szCs w:val="21"/>
                    </w:rPr>
                    <w:t>请客户在此抄录：</w:t>
                  </w:r>
                  <w:r>
                    <w:rPr>
                      <w:rFonts w:hint="eastAsia" w:ascii="华文仿宋" w:hAnsi="华文仿宋" w:eastAsia="华文仿宋" w:cs="Times New Roman"/>
                      <w:szCs w:val="21"/>
                      <w:u w:val="single"/>
                    </w:rPr>
                    <w:t xml:space="preserve">                                                      </w:t>
                  </w:r>
                  <w:r>
                    <w:rPr>
                      <w:rFonts w:hint="eastAsia" w:ascii="华文仿宋" w:hAnsi="华文仿宋" w:eastAsia="华文仿宋" w:cs="Times New Roman"/>
                      <w:szCs w:val="21"/>
                    </w:rPr>
                    <w:t xml:space="preserve">       </w:t>
                  </w:r>
                </w:p>
                <w:p>
                  <w:pPr>
                    <w:ind w:left="4200" w:firstLine="420"/>
                    <w:rPr>
                      <w:rFonts w:ascii="宋体" w:hAnsi="宋体" w:cs="Arial"/>
                      <w:szCs w:val="21"/>
                    </w:rPr>
                  </w:pPr>
                  <w:r>
                    <w:rPr>
                      <w:rFonts w:hint="eastAsia" w:ascii="宋体" w:hAnsi="宋体" w:cs="Arial"/>
                      <w:szCs w:val="21"/>
                    </w:rPr>
                    <w:t>客户签字：</w:t>
                  </w:r>
                </w:p>
                <w:p>
                  <w:pPr>
                    <w:ind w:left="4200" w:firstLine="420"/>
                    <w:rPr>
                      <w:rFonts w:ascii="宋体" w:cs="Arial"/>
                      <w:szCs w:val="21"/>
                    </w:rPr>
                  </w:pPr>
                  <w:r>
                    <w:rPr>
                      <w:rFonts w:hint="eastAsia" w:ascii="宋体" w:hAnsi="宋体" w:cs="Arial"/>
                      <w:szCs w:val="21"/>
                    </w:rPr>
                    <w:t>日    期：</w:t>
                  </w:r>
                </w:p>
              </w:txbxContent>
            </v:textbox>
          </v:shape>
        </w:pict>
      </w:r>
      <w:r>
        <w:rPr>
          <w:rFonts w:hint="eastAsia" w:ascii="华文仿宋" w:hAnsi="华文仿宋" w:eastAsia="华文仿宋"/>
          <w:b/>
          <w:sz w:val="24"/>
          <w:szCs w:val="24"/>
        </w:rPr>
        <w:t>风险揭示方：新疆银行股份有限公司</w:t>
      </w:r>
    </w:p>
    <w:p>
      <w:pPr>
        <w:spacing w:line="276" w:lineRule="auto"/>
        <w:jc w:val="right"/>
        <w:rPr>
          <w:rFonts w:ascii="华文仿宋" w:hAnsi="华文仿宋" w:eastAsia="华文仿宋"/>
          <w:b/>
          <w:sz w:val="24"/>
          <w:szCs w:val="24"/>
        </w:rPr>
      </w:pPr>
    </w:p>
    <w:p>
      <w:pPr>
        <w:spacing w:line="276" w:lineRule="auto"/>
        <w:jc w:val="center"/>
        <w:rPr>
          <w:rFonts w:ascii="华文仿宋" w:hAnsi="华文仿宋" w:eastAsia="华文仿宋"/>
          <w:sz w:val="24"/>
          <w:szCs w:val="24"/>
        </w:rPr>
      </w:pPr>
    </w:p>
    <w:p>
      <w:pPr>
        <w:spacing w:line="276" w:lineRule="auto"/>
        <w:jc w:val="center"/>
        <w:rPr>
          <w:rFonts w:ascii="华文仿宋" w:hAnsi="华文仿宋" w:eastAsia="华文仿宋" w:cs="Arial"/>
          <w:b/>
          <w:sz w:val="24"/>
          <w:szCs w:val="24"/>
        </w:rPr>
      </w:pPr>
    </w:p>
    <w:p>
      <w:pPr>
        <w:spacing w:line="276" w:lineRule="auto"/>
        <w:jc w:val="center"/>
        <w:rPr>
          <w:rFonts w:ascii="华文仿宋" w:hAnsi="华文仿宋" w:eastAsia="华文仿宋" w:cs="Arial"/>
          <w:b/>
          <w:sz w:val="24"/>
          <w:szCs w:val="24"/>
        </w:rPr>
      </w:pPr>
    </w:p>
    <w:p>
      <w:pPr>
        <w:spacing w:line="276" w:lineRule="auto"/>
        <w:jc w:val="center"/>
        <w:rPr>
          <w:rFonts w:ascii="华文仿宋" w:hAnsi="华文仿宋" w:eastAsia="华文仿宋" w:cs="Arial"/>
          <w:b/>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p>
    <w:pPr>
      <w:pStyle w:val="4"/>
      <w:pBdr>
        <w:bottom w:val="none" w:color="auto" w:sz="0" w:space="0"/>
      </w:pBdr>
      <w:jc w:val="both"/>
    </w:pPr>
    <w:r>
      <w:drawing>
        <wp:anchor distT="0" distB="0" distL="114300" distR="114300" simplePos="0" relativeHeight="251659264" behindDoc="0" locked="0" layoutInCell="1" allowOverlap="1">
          <wp:simplePos x="0" y="0"/>
          <wp:positionH relativeFrom="column">
            <wp:posOffset>-438150</wp:posOffset>
          </wp:positionH>
          <wp:positionV relativeFrom="paragraph">
            <wp:posOffset>-152400</wp:posOffset>
          </wp:positionV>
          <wp:extent cx="1857375" cy="3619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10000" contrast="40000"/>
                  </a:blip>
                  <a:srcRect/>
                  <a:stretch>
                    <a:fillRect/>
                  </a:stretch>
                </pic:blipFill>
                <pic:spPr>
                  <a:xfrm>
                    <a:off x="0" y="0"/>
                    <a:ext cx="1857375" cy="3619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CE3"/>
    <w:rsid w:val="00023906"/>
    <w:rsid w:val="00041B28"/>
    <w:rsid w:val="00057B35"/>
    <w:rsid w:val="000A46E9"/>
    <w:rsid w:val="000B71FE"/>
    <w:rsid w:val="000D4330"/>
    <w:rsid w:val="000E08FF"/>
    <w:rsid w:val="000F2FEE"/>
    <w:rsid w:val="000F4EEE"/>
    <w:rsid w:val="00105171"/>
    <w:rsid w:val="00110ED4"/>
    <w:rsid w:val="00174D98"/>
    <w:rsid w:val="00190CDA"/>
    <w:rsid w:val="001933E0"/>
    <w:rsid w:val="001938E8"/>
    <w:rsid w:val="00196EC5"/>
    <w:rsid w:val="001A082D"/>
    <w:rsid w:val="001A27D3"/>
    <w:rsid w:val="001A49FA"/>
    <w:rsid w:val="001E0CF9"/>
    <w:rsid w:val="001E7B42"/>
    <w:rsid w:val="001F7A55"/>
    <w:rsid w:val="0022088C"/>
    <w:rsid w:val="002348B2"/>
    <w:rsid w:val="00255EA1"/>
    <w:rsid w:val="002C5ACA"/>
    <w:rsid w:val="002E21A5"/>
    <w:rsid w:val="002E58B1"/>
    <w:rsid w:val="002E728A"/>
    <w:rsid w:val="002F16A7"/>
    <w:rsid w:val="00302C35"/>
    <w:rsid w:val="00310ED5"/>
    <w:rsid w:val="003117E3"/>
    <w:rsid w:val="00323FEB"/>
    <w:rsid w:val="00390ADD"/>
    <w:rsid w:val="003C3B40"/>
    <w:rsid w:val="003E0C0B"/>
    <w:rsid w:val="003F3A20"/>
    <w:rsid w:val="003F7749"/>
    <w:rsid w:val="00400786"/>
    <w:rsid w:val="00431018"/>
    <w:rsid w:val="00432861"/>
    <w:rsid w:val="00482643"/>
    <w:rsid w:val="004856F4"/>
    <w:rsid w:val="004A3018"/>
    <w:rsid w:val="004A39C3"/>
    <w:rsid w:val="004D0C63"/>
    <w:rsid w:val="004D17BD"/>
    <w:rsid w:val="00521B1D"/>
    <w:rsid w:val="00545F12"/>
    <w:rsid w:val="0057728C"/>
    <w:rsid w:val="00584DBD"/>
    <w:rsid w:val="00590AA0"/>
    <w:rsid w:val="005E5552"/>
    <w:rsid w:val="00620AAA"/>
    <w:rsid w:val="00621B92"/>
    <w:rsid w:val="0064422D"/>
    <w:rsid w:val="00650F21"/>
    <w:rsid w:val="00657C0B"/>
    <w:rsid w:val="00660670"/>
    <w:rsid w:val="00671EEC"/>
    <w:rsid w:val="006B3594"/>
    <w:rsid w:val="006C6444"/>
    <w:rsid w:val="006D5AEB"/>
    <w:rsid w:val="006E7885"/>
    <w:rsid w:val="006F049E"/>
    <w:rsid w:val="00710789"/>
    <w:rsid w:val="0072620C"/>
    <w:rsid w:val="007369C4"/>
    <w:rsid w:val="00751218"/>
    <w:rsid w:val="00755BF1"/>
    <w:rsid w:val="00762F42"/>
    <w:rsid w:val="007705A4"/>
    <w:rsid w:val="00784311"/>
    <w:rsid w:val="007D32C2"/>
    <w:rsid w:val="007E5C50"/>
    <w:rsid w:val="007F0572"/>
    <w:rsid w:val="007F564D"/>
    <w:rsid w:val="008240F9"/>
    <w:rsid w:val="00826261"/>
    <w:rsid w:val="00850881"/>
    <w:rsid w:val="00870C64"/>
    <w:rsid w:val="008A2022"/>
    <w:rsid w:val="008B0194"/>
    <w:rsid w:val="008B1894"/>
    <w:rsid w:val="008B26D6"/>
    <w:rsid w:val="008C2A0A"/>
    <w:rsid w:val="008D0AF4"/>
    <w:rsid w:val="008E1EE0"/>
    <w:rsid w:val="008F073D"/>
    <w:rsid w:val="00901289"/>
    <w:rsid w:val="00920D3C"/>
    <w:rsid w:val="00927D76"/>
    <w:rsid w:val="0094084B"/>
    <w:rsid w:val="00947BB8"/>
    <w:rsid w:val="00961ABB"/>
    <w:rsid w:val="00962F14"/>
    <w:rsid w:val="00965F68"/>
    <w:rsid w:val="009663F8"/>
    <w:rsid w:val="009A6C27"/>
    <w:rsid w:val="009A7BC5"/>
    <w:rsid w:val="009C4BC4"/>
    <w:rsid w:val="009D1EED"/>
    <w:rsid w:val="009E3E53"/>
    <w:rsid w:val="009F3E02"/>
    <w:rsid w:val="009F6171"/>
    <w:rsid w:val="00A01071"/>
    <w:rsid w:val="00A12F31"/>
    <w:rsid w:val="00A266BB"/>
    <w:rsid w:val="00A41D79"/>
    <w:rsid w:val="00A803AC"/>
    <w:rsid w:val="00A80427"/>
    <w:rsid w:val="00A82C89"/>
    <w:rsid w:val="00A84650"/>
    <w:rsid w:val="00AB3D5A"/>
    <w:rsid w:val="00AB55D9"/>
    <w:rsid w:val="00AC46D6"/>
    <w:rsid w:val="00AF0D2A"/>
    <w:rsid w:val="00AF1DC4"/>
    <w:rsid w:val="00B10F04"/>
    <w:rsid w:val="00B24D7B"/>
    <w:rsid w:val="00B31D20"/>
    <w:rsid w:val="00B40B99"/>
    <w:rsid w:val="00B477A6"/>
    <w:rsid w:val="00B848FE"/>
    <w:rsid w:val="00B97A50"/>
    <w:rsid w:val="00BA48B5"/>
    <w:rsid w:val="00BA520B"/>
    <w:rsid w:val="00C341E3"/>
    <w:rsid w:val="00C42DD2"/>
    <w:rsid w:val="00C52C2E"/>
    <w:rsid w:val="00C55219"/>
    <w:rsid w:val="00C61214"/>
    <w:rsid w:val="00C62B99"/>
    <w:rsid w:val="00CB3E1B"/>
    <w:rsid w:val="00CC3610"/>
    <w:rsid w:val="00CC3F3E"/>
    <w:rsid w:val="00CF1CE3"/>
    <w:rsid w:val="00D262E4"/>
    <w:rsid w:val="00D275B9"/>
    <w:rsid w:val="00D470C1"/>
    <w:rsid w:val="00D507B4"/>
    <w:rsid w:val="00D84D1D"/>
    <w:rsid w:val="00DA7266"/>
    <w:rsid w:val="00DB4ADD"/>
    <w:rsid w:val="00DE4DE4"/>
    <w:rsid w:val="00E07596"/>
    <w:rsid w:val="00E30C18"/>
    <w:rsid w:val="00E454CE"/>
    <w:rsid w:val="00E578FF"/>
    <w:rsid w:val="00E64E05"/>
    <w:rsid w:val="00E94906"/>
    <w:rsid w:val="00EE0E71"/>
    <w:rsid w:val="00F04ED5"/>
    <w:rsid w:val="00F36084"/>
    <w:rsid w:val="00F502C0"/>
    <w:rsid w:val="00F62A1B"/>
    <w:rsid w:val="00F738D3"/>
    <w:rsid w:val="00F841EA"/>
    <w:rsid w:val="00F96574"/>
    <w:rsid w:val="00FA76B2"/>
    <w:rsid w:val="00FF279A"/>
    <w:rsid w:val="06FF398C"/>
    <w:rsid w:val="07783F8F"/>
    <w:rsid w:val="07AE17DC"/>
    <w:rsid w:val="133C6CB8"/>
    <w:rsid w:val="19140CA5"/>
    <w:rsid w:val="1CB949CD"/>
    <w:rsid w:val="20187825"/>
    <w:rsid w:val="26E837E0"/>
    <w:rsid w:val="28905623"/>
    <w:rsid w:val="2A48533C"/>
    <w:rsid w:val="345B563C"/>
    <w:rsid w:val="35BB1B81"/>
    <w:rsid w:val="3D7A1A48"/>
    <w:rsid w:val="6C293EA4"/>
    <w:rsid w:val="76217A0F"/>
    <w:rsid w:val="786B040F"/>
    <w:rsid w:val="7BE21F89"/>
    <w:rsid w:val="7E194A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8">
    <w:name w:val="页眉 Char"/>
    <w:basedOn w:val="5"/>
    <w:link w:val="4"/>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314</Words>
  <Characters>1794</Characters>
  <Lines>14</Lines>
  <Paragraphs>4</Paragraphs>
  <ScaleCrop>false</ScaleCrop>
  <LinksUpToDate>false</LinksUpToDate>
  <CharactersWithSpaces>2104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2019-03-04T11:50:00Z</dcterms:created>
  <dc:creator>zzsx</dc:creator>
  <cp:lastModifiedBy>曹旭红</cp:lastModifiedBy>
  <cp:lastPrinted>2019-03-13T10:49:00Z</cp:lastPrinted>
  <dcterms:modified xsi:type="dcterms:W3CDTF">2019-12-03T03:37:20Z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