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Style w:val="7"/>
          <w:rFonts w:cs="宋体"/>
          <w:kern w:val="0"/>
          <w:sz w:val="28"/>
          <w:szCs w:val="28"/>
        </w:rPr>
      </w:pPr>
      <w:bookmarkStart w:id="0" w:name="_GoBack"/>
      <w:bookmarkEnd w:id="0"/>
    </w:p>
    <w:p>
      <w:pPr>
        <w:spacing w:line="360" w:lineRule="exact"/>
        <w:jc w:val="center"/>
        <w:rPr>
          <w:rStyle w:val="7"/>
          <w:rFonts w:cs="宋体"/>
          <w:kern w:val="0"/>
          <w:sz w:val="28"/>
          <w:szCs w:val="28"/>
        </w:rPr>
      </w:pPr>
      <w:r>
        <w:rPr>
          <w:rStyle w:val="7"/>
          <w:rFonts w:hint="eastAsia" w:cs="宋体"/>
          <w:kern w:val="0"/>
          <w:sz w:val="28"/>
          <w:szCs w:val="28"/>
        </w:rPr>
        <w:t>新疆银行客户权益须知</w:t>
      </w:r>
    </w:p>
    <w:p>
      <w:pPr>
        <w:widowControl/>
        <w:spacing w:line="360" w:lineRule="exact"/>
        <w:jc w:val="center"/>
        <w:rPr>
          <w:rFonts w:ascii="宋体" w:hAnsi="宋体" w:cs="宋体"/>
          <w:bCs/>
          <w:kern w:val="0"/>
          <w:sz w:val="18"/>
          <w:szCs w:val="18"/>
        </w:rPr>
      </w:pPr>
      <w:r>
        <w:rPr>
          <w:rStyle w:val="7"/>
          <w:rFonts w:hint="eastAsia" w:ascii="宋体" w:hAnsi="宋体" w:cs="宋体"/>
          <w:kern w:val="0"/>
          <w:sz w:val="18"/>
          <w:szCs w:val="18"/>
        </w:rPr>
        <w:t>理财非存款、产品有风险、投资须谨慎</w:t>
      </w:r>
    </w:p>
    <w:p>
      <w:pPr>
        <w:spacing w:line="360" w:lineRule="exact"/>
        <w:rPr>
          <w:rFonts w:ascii="华文仿宋" w:hAnsi="华文仿宋" w:eastAsia="华文仿宋"/>
          <w:sz w:val="24"/>
          <w:szCs w:val="24"/>
        </w:rPr>
      </w:pPr>
      <w:r>
        <w:rPr>
          <w:rFonts w:hint="eastAsia" w:ascii="华文仿宋" w:hAnsi="华文仿宋" w:eastAsia="华文仿宋"/>
          <w:sz w:val="24"/>
          <w:szCs w:val="24"/>
        </w:rPr>
        <w:t>尊敬的客户：</w:t>
      </w:r>
    </w:p>
    <w:p>
      <w:pPr>
        <w:spacing w:line="360" w:lineRule="exact"/>
        <w:ind w:firstLine="480"/>
        <w:rPr>
          <w:rFonts w:ascii="华文仿宋" w:hAnsi="华文仿宋" w:eastAsia="华文仿宋"/>
          <w:sz w:val="24"/>
          <w:szCs w:val="24"/>
        </w:rPr>
      </w:pPr>
      <w:r>
        <w:rPr>
          <w:rFonts w:ascii="华文仿宋" w:hAnsi="华文仿宋" w:eastAsia="华文仿宋"/>
          <w:sz w:val="24"/>
          <w:szCs w:val="24"/>
        </w:rPr>
        <w:t>感谢您购买新疆银行理财产品，请仔细阅读本《客户权益须知》，行使您在本业务项下的权益。</w:t>
      </w:r>
    </w:p>
    <w:tbl>
      <w:tblPr>
        <w:tblStyle w:val="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7" w:hRule="atLeast"/>
        </w:trPr>
        <w:tc>
          <w:tcPr>
            <w:tcW w:w="9962" w:type="dxa"/>
            <w:shd w:val="clear" w:color="auto" w:fill="3778F9"/>
          </w:tcPr>
          <w:p>
            <w:pPr>
              <w:spacing w:line="360" w:lineRule="exact"/>
              <w:jc w:val="center"/>
              <w:rPr>
                <w:rFonts w:ascii="华文仿宋" w:hAnsi="华文仿宋" w:eastAsia="华文仿宋"/>
                <w:sz w:val="24"/>
                <w:szCs w:val="24"/>
              </w:rPr>
            </w:pPr>
            <w:r>
              <w:rPr>
                <w:rFonts w:hint="eastAsia" w:ascii="华文仿宋" w:hAnsi="华文仿宋" w:eastAsia="华文仿宋"/>
                <w:b/>
                <w:sz w:val="24"/>
                <w:szCs w:val="24"/>
              </w:rPr>
              <w:t>一.办理流程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tcBorders>
              <w:bottom w:val="single" w:color="000000" w:themeColor="text1" w:sz="4" w:space="0"/>
            </w:tcBorders>
          </w:tcPr>
          <w:p>
            <w:pPr>
              <w:spacing w:line="360" w:lineRule="exact"/>
              <w:ind w:firstLine="480" w:firstLineChars="200"/>
              <w:rPr>
                <w:rFonts w:ascii="华文仿宋" w:hAnsi="华文仿宋" w:eastAsia="华文仿宋"/>
                <w:sz w:val="24"/>
                <w:szCs w:val="24"/>
              </w:rPr>
            </w:pPr>
            <w:r>
              <w:rPr>
                <w:rFonts w:ascii="华文仿宋" w:hAnsi="华文仿宋" w:eastAsia="华文仿宋"/>
                <w:b/>
                <w:sz w:val="24"/>
                <w:szCs w:val="24"/>
              </w:rPr>
              <w:t>1</w:t>
            </w:r>
            <w:r>
              <w:rPr>
                <w:rFonts w:hint="eastAsia" w:ascii="华文仿宋" w:hAnsi="华文仿宋" w:eastAsia="华文仿宋"/>
                <w:b/>
                <w:sz w:val="24"/>
                <w:szCs w:val="24"/>
              </w:rPr>
              <w:t>.开立借记卡、账户：</w:t>
            </w:r>
            <w:r>
              <w:rPr>
                <w:rFonts w:hint="eastAsia" w:ascii="华文仿宋" w:hAnsi="华文仿宋" w:eastAsia="华文仿宋"/>
                <w:sz w:val="24"/>
                <w:szCs w:val="24"/>
              </w:rPr>
              <w:t>在新疆银行办理理财业务，个人投资者请先开立借记卡，机构投资者请先开立可投资账户。</w:t>
            </w:r>
          </w:p>
          <w:p>
            <w:pPr>
              <w:spacing w:line="360" w:lineRule="exact"/>
              <w:ind w:firstLine="570"/>
              <w:rPr>
                <w:rFonts w:ascii="华文仿宋" w:hAnsi="华文仿宋" w:eastAsia="华文仿宋"/>
                <w:sz w:val="24"/>
                <w:szCs w:val="24"/>
              </w:rPr>
            </w:pPr>
            <w:r>
              <w:rPr>
                <w:rFonts w:hint="eastAsia" w:ascii="华文仿宋" w:hAnsi="华文仿宋" w:eastAsia="华文仿宋"/>
                <w:b/>
                <w:sz w:val="24"/>
                <w:szCs w:val="24"/>
              </w:rPr>
              <w:t>2.指定清算账户：</w:t>
            </w:r>
            <w:r>
              <w:rPr>
                <w:rFonts w:hint="eastAsia" w:ascii="华文仿宋" w:hAnsi="华文仿宋" w:eastAsia="华文仿宋"/>
                <w:sz w:val="24"/>
                <w:szCs w:val="24"/>
              </w:rPr>
              <w:t>投资者应指定其在本行开立的借记卡或账户作为清算账户，用于理财本金及收益等款项的收付。</w:t>
            </w:r>
          </w:p>
          <w:p>
            <w:pPr>
              <w:spacing w:line="360" w:lineRule="exact"/>
              <w:ind w:firstLine="570"/>
              <w:rPr>
                <w:rFonts w:ascii="华文仿宋" w:hAnsi="华文仿宋" w:eastAsia="华文仿宋"/>
                <w:sz w:val="24"/>
                <w:szCs w:val="24"/>
              </w:rPr>
            </w:pPr>
            <w:r>
              <w:rPr>
                <w:rFonts w:hint="eastAsia" w:ascii="华文仿宋" w:hAnsi="华文仿宋" w:eastAsia="华文仿宋"/>
                <w:b/>
                <w:sz w:val="24"/>
                <w:szCs w:val="24"/>
              </w:rPr>
              <w:t>3.签署相关协议：</w:t>
            </w:r>
            <w:r>
              <w:rPr>
                <w:rFonts w:hint="eastAsia" w:ascii="华文仿宋" w:hAnsi="华文仿宋" w:eastAsia="华文仿宋"/>
                <w:sz w:val="24"/>
                <w:szCs w:val="24"/>
              </w:rPr>
              <w:t>投资者应签署《新疆银行理财产品协议书》等相关协议文本，填写客户风险承受能力评估问卷。</w:t>
            </w:r>
          </w:p>
          <w:p>
            <w:pPr>
              <w:spacing w:line="360" w:lineRule="exact"/>
              <w:ind w:firstLine="480" w:firstLineChars="200"/>
              <w:rPr>
                <w:rFonts w:ascii="华文仿宋" w:hAnsi="华文仿宋" w:eastAsia="华文仿宋"/>
                <w:b/>
                <w:sz w:val="24"/>
                <w:szCs w:val="24"/>
              </w:rPr>
            </w:pPr>
            <w:r>
              <w:rPr>
                <w:rFonts w:hint="eastAsia" w:ascii="华文仿宋" w:hAnsi="华文仿宋" w:eastAsia="华文仿宋"/>
                <w:b/>
                <w:sz w:val="24"/>
                <w:szCs w:val="24"/>
              </w:rPr>
              <w:t>4.各交易渠道业务委托：</w:t>
            </w:r>
          </w:p>
          <w:p>
            <w:pPr>
              <w:spacing w:line="36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（1）网点柜面</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①个人投资者需提供：</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持本人有效身份证原件及在我行开立的借记卡，到辖内营业网点办理。</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②机构投资者需提供：</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营业执照正本或副本原件及加盖公章的复印件（事业单位法人、社会团体或其他组织提供的民政部门或主管部门颁发的注册登记证书原件及加盖公章的复印件）、理财业务授权委托书、经办人有效身份证件原件及复印件、预留印鉴等相关资料，机构投资者只能在其账户开户营业机构办理。</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（2）电子渠道</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电子渠道包括：网上银行、手机银行等。投资者开通新疆银行网上银行、手机银行等电子渠道后，即可在此类渠道办理相关理财产品认购、申购、赎回、转让等业务。如通过适用的电子渠道签署理财相关协议，投资者勾选“我已阅读并同意《理财相关文档》，充分了解并知晓本产品风险，愿意承担相关风险”，视为协议签署有效。</w:t>
            </w:r>
          </w:p>
          <w:p>
            <w:pPr>
              <w:spacing w:line="360" w:lineRule="exact"/>
              <w:ind w:firstLine="555"/>
              <w:rPr>
                <w:rFonts w:ascii="华文仿宋" w:hAnsi="华文仿宋" w:eastAsia="华文仿宋"/>
                <w:sz w:val="24"/>
                <w:szCs w:val="24"/>
              </w:rPr>
            </w:pPr>
            <w:r>
              <w:rPr>
                <w:rFonts w:hint="eastAsia" w:ascii="华文仿宋" w:hAnsi="华文仿宋" w:eastAsia="华文仿宋"/>
                <w:b/>
                <w:sz w:val="24"/>
                <w:szCs w:val="24"/>
              </w:rPr>
              <w:t>5.查询：</w:t>
            </w:r>
            <w:r>
              <w:rPr>
                <w:rFonts w:hint="eastAsia" w:ascii="华文仿宋" w:hAnsi="华文仿宋" w:eastAsia="华文仿宋"/>
                <w:sz w:val="24"/>
                <w:szCs w:val="24"/>
              </w:rPr>
              <w:t>个人投资者凭本人有效证件及指定借记卡、机构投资者凭授权书及账户信息，可至网点查询理财产品持有情况、交易情况等。投资者还可至相应电子渠道，查询理财产品持有情况、交易情况等。</w:t>
            </w:r>
          </w:p>
          <w:p>
            <w:pPr>
              <w:spacing w:line="360" w:lineRule="exact"/>
              <w:ind w:firstLine="555"/>
              <w:rPr>
                <w:rFonts w:ascii="华文仿宋" w:hAnsi="华文仿宋" w:eastAsia="华文仿宋"/>
                <w:b/>
                <w:sz w:val="24"/>
                <w:szCs w:val="24"/>
              </w:rPr>
            </w:pPr>
            <w:r>
              <w:rPr>
                <w:rFonts w:hint="eastAsia" w:ascii="华文仿宋" w:hAnsi="华文仿宋" w:eastAsia="华文仿宋"/>
                <w:b/>
                <w:sz w:val="24"/>
                <w:szCs w:val="24"/>
              </w:rPr>
              <w:t>6.投资者在此保证：</w:t>
            </w:r>
            <w:r>
              <w:rPr>
                <w:rFonts w:hint="eastAsia" w:ascii="华文仿宋" w:hAnsi="华文仿宋" w:eastAsia="华文仿宋"/>
                <w:sz w:val="24"/>
                <w:szCs w:val="24"/>
              </w:rPr>
              <w:t>理财资金是其拥有合法处分权的资金，将该资金用于购买理财产品不违反任何法律法规、裁决或协议，投资者已认真了解相关权利、义务和风险。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shd w:val="clear" w:color="auto" w:fill="3778F9"/>
          </w:tcPr>
          <w:p>
            <w:pPr>
              <w:spacing w:line="360" w:lineRule="exact"/>
              <w:jc w:val="center"/>
              <w:rPr>
                <w:rFonts w:ascii="华文仿宋" w:hAnsi="华文仿宋" w:eastAsia="华文仿宋"/>
                <w:sz w:val="24"/>
                <w:szCs w:val="24"/>
              </w:rPr>
            </w:pPr>
            <w:r>
              <w:rPr>
                <w:rFonts w:hint="eastAsia" w:ascii="华文仿宋" w:hAnsi="华文仿宋" w:eastAsia="华文仿宋"/>
                <w:b/>
                <w:sz w:val="24"/>
                <w:szCs w:val="24"/>
              </w:rPr>
              <w:t>二.客户风险承受能力评估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tcBorders>
              <w:bottom w:val="single" w:color="000000" w:themeColor="text1" w:sz="4" w:space="0"/>
            </w:tcBorders>
          </w:tcPr>
          <w:p>
            <w:pPr>
              <w:spacing w:line="360" w:lineRule="exact"/>
              <w:rPr>
                <w:rFonts w:ascii="华文仿宋" w:hAnsi="华文仿宋" w:eastAsia="华文仿宋"/>
                <w:sz w:val="24"/>
                <w:szCs w:val="24"/>
              </w:rPr>
            </w:pPr>
            <w:r>
              <w:rPr>
                <w:rFonts w:hint="eastAsia" w:ascii="华文仿宋" w:hAnsi="华文仿宋" w:eastAsia="华文仿宋"/>
                <w:sz w:val="24"/>
                <w:szCs w:val="24"/>
              </w:rPr>
              <w:t xml:space="preserve">     1.首次进行风险承受能力评估，须在银行网点进行。</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2.超过一年未进行风险承受能力评估，再次购买理财产品须在各营业网点或适用的电子渠道完成风险承受能力评估。</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3.在风险评估有效期内，如发生可能影响自身风险承受能力的情况时，投资者应主动要求重新评估；不准确、完整地填写问卷，导致风险评估不符合投资者实际情况，由此产生的后果由投资者自行承担。</w:t>
            </w:r>
          </w:p>
          <w:p>
            <w:pPr>
              <w:spacing w:line="360" w:lineRule="exact"/>
              <w:ind w:firstLine="570"/>
              <w:rPr>
                <w:rFonts w:ascii="华文仿宋" w:hAnsi="华文仿宋" w:eastAsia="华文仿宋"/>
                <w:sz w:val="24"/>
                <w:szCs w:val="24"/>
              </w:rPr>
            </w:pPr>
            <w:r>
              <w:rPr>
                <w:rFonts w:hint="eastAsia" w:ascii="华文仿宋" w:hAnsi="华文仿宋" w:eastAsia="华文仿宋"/>
                <w:sz w:val="24"/>
                <w:szCs w:val="24"/>
              </w:rPr>
              <w:t>4. 客户风险承受能力评级分五级，分别为：A1（保守型）、A2（稳健型）、A3（平衡型）、A4（成长型）、A5（进取型）。关于客户风险评级等相关内容，详见《新疆银行个人客户风险承受能力评估问卷》。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shd w:val="clear" w:color="auto" w:fill="3778F9"/>
          </w:tcPr>
          <w:p>
            <w:pPr>
              <w:spacing w:line="360" w:lineRule="exact"/>
              <w:jc w:val="center"/>
              <w:rPr>
                <w:rFonts w:ascii="华文仿宋" w:hAnsi="华文仿宋" w:eastAsia="华文仿宋"/>
                <w:sz w:val="24"/>
                <w:szCs w:val="24"/>
              </w:rPr>
            </w:pPr>
            <w:r>
              <w:rPr>
                <w:rFonts w:hint="eastAsia" w:ascii="华文仿宋" w:hAnsi="华文仿宋" w:eastAsia="华文仿宋"/>
                <w:b/>
                <w:sz w:val="24"/>
                <w:szCs w:val="24"/>
              </w:rPr>
              <w:t>三.产品风险评级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tcBorders>
              <w:bottom w:val="single" w:color="000000" w:themeColor="text1" w:sz="4" w:space="0"/>
            </w:tcBorders>
          </w:tcPr>
          <w:p>
            <w:pPr>
              <w:pStyle w:val="2"/>
              <w:spacing w:before="0" w:after="0" w:line="360" w:lineRule="exact"/>
              <w:ind w:firstLine="480" w:firstLineChars="200"/>
              <w:rPr>
                <w:rFonts w:ascii="华文仿宋" w:hAnsi="华文仿宋" w:eastAsia="华文仿宋"/>
                <w:b w:val="0"/>
                <w:bCs w:val="0"/>
                <w:kern w:val="2"/>
                <w:sz w:val="24"/>
                <w:szCs w:val="24"/>
              </w:rPr>
            </w:pPr>
            <w:r>
              <w:rPr>
                <w:rFonts w:hint="eastAsia" w:ascii="华文仿宋" w:hAnsi="华文仿宋" w:eastAsia="华文仿宋"/>
                <w:b w:val="0"/>
                <w:bCs w:val="0"/>
                <w:kern w:val="2"/>
                <w:sz w:val="24"/>
                <w:szCs w:val="24"/>
              </w:rPr>
              <w:t>新疆银行理财产品内部风险评级分五级，分别为：低风险（R1）、中低风险（R2）、中等风险（R3）、较高风险（R4）、高风险（R5）。客户风险承受能力风险评级类型与适合购买的理财产品的对应关系为：</w:t>
            </w:r>
          </w:p>
          <w:tbl>
            <w:tblPr>
              <w:tblStyle w:val="8"/>
              <w:tblW w:w="9634" w:type="dxa"/>
              <w:tblInd w:w="0" w:type="dxa"/>
              <w:tblLayout w:type="fixed"/>
              <w:tblCellMar>
                <w:top w:w="15" w:type="dxa"/>
                <w:left w:w="108" w:type="dxa"/>
                <w:bottom w:w="15" w:type="dxa"/>
                <w:right w:w="108" w:type="dxa"/>
              </w:tblCellMar>
            </w:tblPr>
            <w:tblGrid>
              <w:gridCol w:w="988"/>
              <w:gridCol w:w="1134"/>
              <w:gridCol w:w="5528"/>
              <w:gridCol w:w="1984"/>
            </w:tblGrid>
            <w:tr>
              <w:tblPrEx>
                <w:tblLayout w:type="fixed"/>
                <w:tblCellMar>
                  <w:top w:w="15" w:type="dxa"/>
                  <w:left w:w="108" w:type="dxa"/>
                  <w:bottom w:w="15" w:type="dxa"/>
                  <w:right w:w="108" w:type="dxa"/>
                </w:tblCellMar>
              </w:tblPrEx>
              <w:trPr>
                <w:trHeight w:val="836"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产品风险标识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产品风险评级</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产品风险及收益特征描述</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适用风险评级客群</w:t>
                  </w:r>
                </w:p>
              </w:tc>
            </w:tr>
            <w:tr>
              <w:tblPrEx>
                <w:tblLayout w:type="fixed"/>
                <w:tblCellMar>
                  <w:top w:w="15" w:type="dxa"/>
                  <w:left w:w="108" w:type="dxa"/>
                  <w:bottom w:w="15" w:type="dxa"/>
                  <w:right w:w="108" w:type="dxa"/>
                </w:tblCellMar>
              </w:tblPrEx>
              <w:trPr>
                <w:trHeight w:val="103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低风险</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产品总体风险程度低，收益波动小，产品本金安全性高，收益不能实现的可能性很小，产品本金出现损失的可能性小。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保守型、稳健型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平衡型、成长型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r>
              <w:tblPrEx>
                <w:tblLayout w:type="fixed"/>
                <w:tblCellMar>
                  <w:top w:w="15" w:type="dxa"/>
                  <w:left w:w="108" w:type="dxa"/>
                  <w:bottom w:w="15" w:type="dxa"/>
                  <w:right w:w="108" w:type="dxa"/>
                </w:tblCellMar>
              </w:tblPrEx>
              <w:trPr>
                <w:trHeight w:val="908"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中低风险</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产品总体风险程度较低，收益波动较小，虽然存在一些可能对产品本金和收益安全产生不利影响的因素，但产品本金出现损失的可能性较小。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稳健型、平衡型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成长型、进取型</w:t>
                  </w:r>
                </w:p>
              </w:tc>
            </w:tr>
            <w:tr>
              <w:tblPrEx>
                <w:tblLayout w:type="fixed"/>
                <w:tblCellMar>
                  <w:top w:w="15" w:type="dxa"/>
                  <w:left w:w="108" w:type="dxa"/>
                  <w:bottom w:w="15" w:type="dxa"/>
                  <w:right w:w="108" w:type="dxa"/>
                </w:tblCellMar>
              </w:tblPrEx>
              <w:trPr>
                <w:trHeight w:val="616"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中等风险</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产品总体风险程度适中，收益存在一定的波动，产品本金出现损失的可能性不容忽视。</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平衡型、成长型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r>
              <w:tblPrEx>
                <w:tblLayout w:type="fixed"/>
                <w:tblCellMar>
                  <w:top w:w="15" w:type="dxa"/>
                  <w:left w:w="108" w:type="dxa"/>
                  <w:bottom w:w="15" w:type="dxa"/>
                  <w:right w:w="108" w:type="dxa"/>
                </w:tblCellMar>
              </w:tblPrEx>
              <w:trPr>
                <w:trHeight w:val="554"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较高风险</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产品总体风险程度较高，收益波动较明显，产品本金出现损失的可能性高。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成长型、进取型</w:t>
                  </w:r>
                </w:p>
              </w:tc>
            </w:tr>
            <w:tr>
              <w:tblPrEx>
                <w:tblLayout w:type="fixed"/>
                <w:tblCellMar>
                  <w:top w:w="15" w:type="dxa"/>
                  <w:left w:w="108" w:type="dxa"/>
                  <w:bottom w:w="15" w:type="dxa"/>
                  <w:right w:w="108" w:type="dxa"/>
                </w:tblCellMar>
              </w:tblPrEx>
              <w:trPr>
                <w:trHeight w:val="37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高风险</w:t>
                  </w:r>
                </w:p>
              </w:tc>
              <w:tc>
                <w:tcPr>
                  <w:tcW w:w="55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产品总体风险程度高，收益波动明显，产品本金出现损失的可能性很高，产品本金出现全部损失的可能性不容忽视。</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bl>
          <w:p>
            <w:pPr>
              <w:ind w:firstLine="570"/>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shd w:val="clear" w:color="auto" w:fill="3778F9"/>
          </w:tcPr>
          <w:p>
            <w:pPr>
              <w:spacing w:line="360" w:lineRule="exact"/>
              <w:jc w:val="center"/>
              <w:rPr>
                <w:rFonts w:ascii="华文仿宋" w:hAnsi="华文仿宋" w:eastAsia="华文仿宋"/>
                <w:sz w:val="24"/>
                <w:szCs w:val="24"/>
              </w:rPr>
            </w:pPr>
            <w:r>
              <w:rPr>
                <w:rFonts w:hint="eastAsia" w:ascii="华文仿宋" w:hAnsi="华文仿宋" w:eastAsia="华文仿宋"/>
                <w:b/>
                <w:sz w:val="24"/>
                <w:szCs w:val="24"/>
              </w:rPr>
              <w:t>四.信息披露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86" w:hRule="atLeast"/>
        </w:trPr>
        <w:tc>
          <w:tcPr>
            <w:tcW w:w="9962" w:type="dxa"/>
          </w:tcPr>
          <w:p>
            <w:pPr>
              <w:spacing w:line="360" w:lineRule="exact"/>
              <w:rPr>
                <w:rFonts w:ascii="华文仿宋" w:hAnsi="华文仿宋" w:eastAsia="华文仿宋"/>
                <w:sz w:val="24"/>
                <w:szCs w:val="24"/>
              </w:rPr>
            </w:pPr>
            <w:r>
              <w:rPr>
                <w:rFonts w:hint="eastAsia" w:ascii="华文仿宋" w:hAnsi="华文仿宋" w:eastAsia="华文仿宋"/>
                <w:sz w:val="24"/>
                <w:szCs w:val="24"/>
              </w:rPr>
              <w:t xml:space="preserve">    1.新疆银行将通过门户网站或营业网点进行信息披露，具体以产品说明书的约定为准。</w:t>
            </w:r>
          </w:p>
          <w:p>
            <w:pPr>
              <w:spacing w:line="360" w:lineRule="exact"/>
              <w:rPr>
                <w:rFonts w:ascii="华文仿宋" w:hAnsi="华文仿宋" w:eastAsia="华文仿宋"/>
                <w:sz w:val="24"/>
                <w:szCs w:val="24"/>
              </w:rPr>
            </w:pPr>
            <w:r>
              <w:rPr>
                <w:rFonts w:hint="eastAsia" w:ascii="华文仿宋" w:hAnsi="华文仿宋" w:eastAsia="华文仿宋"/>
                <w:sz w:val="24"/>
                <w:szCs w:val="24"/>
              </w:rPr>
              <w:t xml:space="preserve">    2.投资者</w:t>
            </w:r>
            <w:r>
              <w:rPr>
                <w:rFonts w:ascii="华文仿宋" w:hAnsi="华文仿宋" w:eastAsia="华文仿宋"/>
                <w:sz w:val="24"/>
                <w:szCs w:val="24"/>
              </w:rPr>
              <w:t>对</w:t>
            </w:r>
            <w:r>
              <w:rPr>
                <w:rFonts w:hint="eastAsia" w:ascii="华文仿宋" w:hAnsi="华文仿宋" w:eastAsia="华文仿宋"/>
                <w:sz w:val="24"/>
                <w:szCs w:val="24"/>
              </w:rPr>
              <w:t>银行</w:t>
            </w:r>
            <w:r>
              <w:rPr>
                <w:rFonts w:ascii="华文仿宋" w:hAnsi="华文仿宋" w:eastAsia="华文仿宋"/>
                <w:sz w:val="24"/>
                <w:szCs w:val="24"/>
              </w:rPr>
              <w:t>理财产品和服务有任何意见</w:t>
            </w:r>
            <w:r>
              <w:rPr>
                <w:rFonts w:hint="eastAsia" w:ascii="华文仿宋" w:hAnsi="华文仿宋" w:eastAsia="华文仿宋"/>
                <w:sz w:val="24"/>
                <w:szCs w:val="24"/>
              </w:rPr>
              <w:t>或</w:t>
            </w:r>
            <w:r>
              <w:rPr>
                <w:rFonts w:ascii="华文仿宋" w:hAnsi="华文仿宋" w:eastAsia="华文仿宋"/>
                <w:sz w:val="24"/>
                <w:szCs w:val="24"/>
              </w:rPr>
              <w:t>建议，可通过新疆银行营业网点工作人员、96559</w:t>
            </w:r>
            <w:r>
              <w:rPr>
                <w:rFonts w:hint="eastAsia" w:ascii="华文仿宋" w:hAnsi="华文仿宋" w:eastAsia="华文仿宋"/>
                <w:sz w:val="24"/>
                <w:szCs w:val="24"/>
              </w:rPr>
              <w:t>客服专线</w:t>
            </w:r>
            <w:r>
              <w:rPr>
                <w:rFonts w:ascii="华文仿宋" w:hAnsi="华文仿宋" w:eastAsia="华文仿宋"/>
                <w:sz w:val="24"/>
                <w:szCs w:val="24"/>
              </w:rPr>
              <w:t>进行</w:t>
            </w:r>
            <w:r>
              <w:rPr>
                <w:rFonts w:hint="eastAsia" w:ascii="华文仿宋" w:hAnsi="华文仿宋" w:eastAsia="华文仿宋"/>
                <w:sz w:val="24"/>
                <w:szCs w:val="24"/>
              </w:rPr>
              <w:t>投诉或</w:t>
            </w:r>
            <w:r>
              <w:rPr>
                <w:rFonts w:ascii="华文仿宋" w:hAnsi="华文仿宋" w:eastAsia="华文仿宋"/>
                <w:sz w:val="24"/>
                <w:szCs w:val="24"/>
              </w:rPr>
              <w:t>反映，</w:t>
            </w:r>
            <w:r>
              <w:rPr>
                <w:rFonts w:hint="eastAsia" w:ascii="华文仿宋" w:hAnsi="华文仿宋" w:eastAsia="华文仿宋"/>
                <w:sz w:val="24"/>
                <w:szCs w:val="24"/>
              </w:rPr>
              <w:t>银行将由专人记录并处理您的意见或建议</w:t>
            </w:r>
            <w:r>
              <w:rPr>
                <w:rFonts w:ascii="华文仿宋" w:hAnsi="华文仿宋" w:eastAsia="华文仿宋"/>
                <w:sz w:val="24"/>
                <w:szCs w:val="24"/>
              </w:rPr>
              <w:t>。</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3.在本产品合同签订和履行过程中获取和知悉的投资者的信息和资料，银行对相关信息和资料的使用不得违反法律法规和监管要求，并依法承担保密责任，不得向第三方披露该等信息和资料，但下列情形除外：</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（1）法律法规要求披露的；</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（2）司法部门或监管机构依法要求披露的；</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（3）银行在本产品说明书项下，为履行义务或行使权利需要向银行的外部专业顾问机构披露和允许银行的外部专业顾问机构在保密基础上使用的；</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（4）投资者另行明确同意或授权银行进行披露的。</w:t>
            </w:r>
          </w:p>
          <w:p>
            <w:pPr>
              <w:spacing w:line="360" w:lineRule="exact"/>
              <w:ind w:firstLine="573"/>
              <w:rPr>
                <w:rFonts w:ascii="华文仿宋" w:hAnsi="华文仿宋" w:eastAsia="华文仿宋"/>
                <w:sz w:val="24"/>
                <w:szCs w:val="24"/>
              </w:rPr>
            </w:pPr>
            <w:r>
              <w:rPr>
                <w:rFonts w:hint="eastAsia" w:ascii="华文仿宋" w:hAnsi="华文仿宋" w:eastAsia="华文仿宋"/>
                <w:sz w:val="24"/>
                <w:szCs w:val="24"/>
              </w:rPr>
              <w:t>银行根据适用的法律法规、监管规定对投资者及持有的理财产品的相关信息进行登记，并传输给银行业理财登记托管中心。</w:t>
            </w:r>
          </w:p>
        </w:tc>
      </w:tr>
    </w:tbl>
    <w:p>
      <w:pPr>
        <w:rPr>
          <w:rFonts w:ascii="华文仿宋" w:hAnsi="华文仿宋" w:eastAsia="华文仿宋"/>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5685"/>
    </w:sdtPr>
    <w:sdtContent>
      <w:p>
        <w:pPr>
          <w:pStyle w:val="4"/>
          <w:jc w:val="right"/>
        </w:pPr>
        <w:r>
          <w:fldChar w:fldCharType="begin"/>
        </w:r>
        <w:r>
          <w:instrText xml:space="preserve"> PAGE   \* MERGEFORMAT </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p>
    <w:pPr>
      <w:pStyle w:val="5"/>
      <w:pBdr>
        <w:bottom w:val="none" w:color="auto" w:sz="0" w:space="0"/>
      </w:pBd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857375" cy="3619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10000" contrast="40000"/>
                  </a:blip>
                  <a:srcRect/>
                  <a:stretch>
                    <a:fillRect/>
                  </a:stretch>
                </pic:blipFill>
                <pic:spPr>
                  <a:xfrm>
                    <a:off x="0" y="0"/>
                    <a:ext cx="1857375" cy="3619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24"/>
    <w:rsid w:val="00012FF8"/>
    <w:rsid w:val="000222A6"/>
    <w:rsid w:val="0002772E"/>
    <w:rsid w:val="0003542E"/>
    <w:rsid w:val="00056AD8"/>
    <w:rsid w:val="000652A5"/>
    <w:rsid w:val="00072221"/>
    <w:rsid w:val="00076819"/>
    <w:rsid w:val="0007764D"/>
    <w:rsid w:val="0008504E"/>
    <w:rsid w:val="000A2D5E"/>
    <w:rsid w:val="000B135A"/>
    <w:rsid w:val="000B5C18"/>
    <w:rsid w:val="000B7046"/>
    <w:rsid w:val="000C1B5B"/>
    <w:rsid w:val="000E7ED4"/>
    <w:rsid w:val="001014CC"/>
    <w:rsid w:val="00145743"/>
    <w:rsid w:val="0014628E"/>
    <w:rsid w:val="0017230E"/>
    <w:rsid w:val="00194A7C"/>
    <w:rsid w:val="001C25D7"/>
    <w:rsid w:val="001C7A93"/>
    <w:rsid w:val="001D2211"/>
    <w:rsid w:val="001D7E24"/>
    <w:rsid w:val="001E28AB"/>
    <w:rsid w:val="00205A78"/>
    <w:rsid w:val="00220554"/>
    <w:rsid w:val="00244FD6"/>
    <w:rsid w:val="00246D80"/>
    <w:rsid w:val="00250964"/>
    <w:rsid w:val="00263FD8"/>
    <w:rsid w:val="00273AE8"/>
    <w:rsid w:val="00277F5C"/>
    <w:rsid w:val="002931C0"/>
    <w:rsid w:val="002A170E"/>
    <w:rsid w:val="002B0384"/>
    <w:rsid w:val="002C070C"/>
    <w:rsid w:val="002C10A2"/>
    <w:rsid w:val="002F615F"/>
    <w:rsid w:val="0032031B"/>
    <w:rsid w:val="003239D3"/>
    <w:rsid w:val="00324DF6"/>
    <w:rsid w:val="00332D20"/>
    <w:rsid w:val="00342565"/>
    <w:rsid w:val="00347E28"/>
    <w:rsid w:val="00387463"/>
    <w:rsid w:val="003878BB"/>
    <w:rsid w:val="0039413F"/>
    <w:rsid w:val="003A072D"/>
    <w:rsid w:val="003C1E54"/>
    <w:rsid w:val="003C579C"/>
    <w:rsid w:val="003E0FE2"/>
    <w:rsid w:val="003E4A93"/>
    <w:rsid w:val="003F6811"/>
    <w:rsid w:val="00402087"/>
    <w:rsid w:val="004032F7"/>
    <w:rsid w:val="00405054"/>
    <w:rsid w:val="00423D80"/>
    <w:rsid w:val="004241BA"/>
    <w:rsid w:val="00450FEE"/>
    <w:rsid w:val="00451483"/>
    <w:rsid w:val="00451847"/>
    <w:rsid w:val="004676F3"/>
    <w:rsid w:val="004A6D84"/>
    <w:rsid w:val="004D6E21"/>
    <w:rsid w:val="004F711A"/>
    <w:rsid w:val="00500F97"/>
    <w:rsid w:val="00506A61"/>
    <w:rsid w:val="00513D0B"/>
    <w:rsid w:val="00516103"/>
    <w:rsid w:val="00516FE5"/>
    <w:rsid w:val="00521DE6"/>
    <w:rsid w:val="00524368"/>
    <w:rsid w:val="00524A39"/>
    <w:rsid w:val="00533E05"/>
    <w:rsid w:val="00537B48"/>
    <w:rsid w:val="00543640"/>
    <w:rsid w:val="00576D95"/>
    <w:rsid w:val="00581E23"/>
    <w:rsid w:val="005A7A72"/>
    <w:rsid w:val="005B1B4C"/>
    <w:rsid w:val="005B3AF4"/>
    <w:rsid w:val="005C634C"/>
    <w:rsid w:val="005E5E27"/>
    <w:rsid w:val="005E7BEE"/>
    <w:rsid w:val="005F4B2B"/>
    <w:rsid w:val="005F6389"/>
    <w:rsid w:val="00601E8A"/>
    <w:rsid w:val="00621122"/>
    <w:rsid w:val="00624129"/>
    <w:rsid w:val="006412AA"/>
    <w:rsid w:val="006504A1"/>
    <w:rsid w:val="00651564"/>
    <w:rsid w:val="00655FC6"/>
    <w:rsid w:val="006625C1"/>
    <w:rsid w:val="00664AD7"/>
    <w:rsid w:val="00685423"/>
    <w:rsid w:val="00692AC8"/>
    <w:rsid w:val="006B105D"/>
    <w:rsid w:val="006B7E3F"/>
    <w:rsid w:val="006C1D51"/>
    <w:rsid w:val="006D0D1F"/>
    <w:rsid w:val="006D2284"/>
    <w:rsid w:val="006E0050"/>
    <w:rsid w:val="006E455E"/>
    <w:rsid w:val="007037AE"/>
    <w:rsid w:val="00721692"/>
    <w:rsid w:val="00731761"/>
    <w:rsid w:val="0074084C"/>
    <w:rsid w:val="00740DCC"/>
    <w:rsid w:val="007420B6"/>
    <w:rsid w:val="00754790"/>
    <w:rsid w:val="00774C28"/>
    <w:rsid w:val="00781DED"/>
    <w:rsid w:val="0079561F"/>
    <w:rsid w:val="007A227E"/>
    <w:rsid w:val="007F05E9"/>
    <w:rsid w:val="007F383E"/>
    <w:rsid w:val="007F6DF7"/>
    <w:rsid w:val="008136C0"/>
    <w:rsid w:val="00820E30"/>
    <w:rsid w:val="008345AE"/>
    <w:rsid w:val="008367FF"/>
    <w:rsid w:val="0084048C"/>
    <w:rsid w:val="00843C00"/>
    <w:rsid w:val="00882034"/>
    <w:rsid w:val="008B01BE"/>
    <w:rsid w:val="008B53A5"/>
    <w:rsid w:val="008C1325"/>
    <w:rsid w:val="008C6E94"/>
    <w:rsid w:val="008D6BC3"/>
    <w:rsid w:val="008F6C6A"/>
    <w:rsid w:val="009254B1"/>
    <w:rsid w:val="00946F6D"/>
    <w:rsid w:val="00956A22"/>
    <w:rsid w:val="00957E01"/>
    <w:rsid w:val="0096184E"/>
    <w:rsid w:val="00981065"/>
    <w:rsid w:val="00985383"/>
    <w:rsid w:val="00994177"/>
    <w:rsid w:val="00995A61"/>
    <w:rsid w:val="009C1523"/>
    <w:rsid w:val="009C68DB"/>
    <w:rsid w:val="009F4F03"/>
    <w:rsid w:val="00A23F5A"/>
    <w:rsid w:val="00A30627"/>
    <w:rsid w:val="00A33C46"/>
    <w:rsid w:val="00A43829"/>
    <w:rsid w:val="00A5065B"/>
    <w:rsid w:val="00A542C6"/>
    <w:rsid w:val="00A6759C"/>
    <w:rsid w:val="00A7586E"/>
    <w:rsid w:val="00AA070B"/>
    <w:rsid w:val="00AA2740"/>
    <w:rsid w:val="00AD52D7"/>
    <w:rsid w:val="00AD6BC4"/>
    <w:rsid w:val="00AE4C82"/>
    <w:rsid w:val="00B12D6A"/>
    <w:rsid w:val="00B1372A"/>
    <w:rsid w:val="00B43827"/>
    <w:rsid w:val="00B538FD"/>
    <w:rsid w:val="00B53A71"/>
    <w:rsid w:val="00B54D3B"/>
    <w:rsid w:val="00B6648B"/>
    <w:rsid w:val="00B8644A"/>
    <w:rsid w:val="00B96369"/>
    <w:rsid w:val="00BA5C8A"/>
    <w:rsid w:val="00BC5BBA"/>
    <w:rsid w:val="00BD2FB3"/>
    <w:rsid w:val="00BE6355"/>
    <w:rsid w:val="00C021F9"/>
    <w:rsid w:val="00C3246C"/>
    <w:rsid w:val="00C47AEE"/>
    <w:rsid w:val="00C61489"/>
    <w:rsid w:val="00C756D6"/>
    <w:rsid w:val="00C85E0E"/>
    <w:rsid w:val="00CA1224"/>
    <w:rsid w:val="00CA47B9"/>
    <w:rsid w:val="00CA49ED"/>
    <w:rsid w:val="00CB29A1"/>
    <w:rsid w:val="00CC6B35"/>
    <w:rsid w:val="00CD6AAA"/>
    <w:rsid w:val="00CE0549"/>
    <w:rsid w:val="00D016EB"/>
    <w:rsid w:val="00D03762"/>
    <w:rsid w:val="00D12882"/>
    <w:rsid w:val="00D1326B"/>
    <w:rsid w:val="00D14525"/>
    <w:rsid w:val="00D14A75"/>
    <w:rsid w:val="00D27BEF"/>
    <w:rsid w:val="00D369A8"/>
    <w:rsid w:val="00D4589A"/>
    <w:rsid w:val="00D678B9"/>
    <w:rsid w:val="00D771BA"/>
    <w:rsid w:val="00D90A0E"/>
    <w:rsid w:val="00DB0B4B"/>
    <w:rsid w:val="00DB6513"/>
    <w:rsid w:val="00DB6EBA"/>
    <w:rsid w:val="00DC34D0"/>
    <w:rsid w:val="00DD05E0"/>
    <w:rsid w:val="00DE39A8"/>
    <w:rsid w:val="00DE78F8"/>
    <w:rsid w:val="00E13893"/>
    <w:rsid w:val="00E2431C"/>
    <w:rsid w:val="00E31E30"/>
    <w:rsid w:val="00E5021F"/>
    <w:rsid w:val="00E5418A"/>
    <w:rsid w:val="00E559FB"/>
    <w:rsid w:val="00E6324C"/>
    <w:rsid w:val="00E65EB1"/>
    <w:rsid w:val="00E77D4D"/>
    <w:rsid w:val="00E8121E"/>
    <w:rsid w:val="00E97C6A"/>
    <w:rsid w:val="00EA1DF8"/>
    <w:rsid w:val="00EC0663"/>
    <w:rsid w:val="00EC658E"/>
    <w:rsid w:val="00EC7AD1"/>
    <w:rsid w:val="00EF565B"/>
    <w:rsid w:val="00F04908"/>
    <w:rsid w:val="00F103C3"/>
    <w:rsid w:val="00F26996"/>
    <w:rsid w:val="00F41CB2"/>
    <w:rsid w:val="00F4428C"/>
    <w:rsid w:val="00F44982"/>
    <w:rsid w:val="00F50347"/>
    <w:rsid w:val="00F62692"/>
    <w:rsid w:val="00F66135"/>
    <w:rsid w:val="00F6717D"/>
    <w:rsid w:val="00F703BA"/>
    <w:rsid w:val="00F73747"/>
    <w:rsid w:val="00F75F40"/>
    <w:rsid w:val="00F82B16"/>
    <w:rsid w:val="00F82C1D"/>
    <w:rsid w:val="00F8715E"/>
    <w:rsid w:val="00FA0FD3"/>
    <w:rsid w:val="00FA23BD"/>
    <w:rsid w:val="00FA2959"/>
    <w:rsid w:val="00FA6823"/>
    <w:rsid w:val="00FA6A7B"/>
    <w:rsid w:val="00FB17B1"/>
    <w:rsid w:val="00FC1485"/>
    <w:rsid w:val="00FD4A98"/>
    <w:rsid w:val="00FE23D6"/>
    <w:rsid w:val="00FF50D5"/>
    <w:rsid w:val="0351476D"/>
    <w:rsid w:val="142F3270"/>
    <w:rsid w:val="35A9467C"/>
    <w:rsid w:val="44DB0056"/>
    <w:rsid w:val="65884D79"/>
    <w:rsid w:val="682863FC"/>
    <w:rsid w:val="6B4C2CA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table" w:styleId="9">
    <w:name w:val="Table Grid"/>
    <w:basedOn w:val="8"/>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批注框文本 Char"/>
    <w:basedOn w:val="6"/>
    <w:link w:val="3"/>
    <w:semiHidden/>
    <w:uiPriority w:val="99"/>
    <w:rPr>
      <w:sz w:val="18"/>
      <w:szCs w:val="18"/>
    </w:r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78074-BCC1-4835-A92D-429FB5C4909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291</Words>
  <Characters>1664</Characters>
  <Lines>13</Lines>
  <Paragraphs>3</Paragraphs>
  <TotalTime>0</TotalTime>
  <ScaleCrop>false</ScaleCrop>
  <LinksUpToDate>false</LinksUpToDate>
  <CharactersWithSpaces>1952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2019-03-07T02:32:00Z</dcterms:created>
  <dc:creator>张云鹏</dc:creator>
  <cp:lastModifiedBy>曹旭红</cp:lastModifiedBy>
  <cp:lastPrinted>2019-05-05T16:32:00Z</cp:lastPrinted>
  <dcterms:modified xsi:type="dcterms:W3CDTF">2019-11-04T03:43:13Z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