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50" w:line="360" w:lineRule="auto"/>
        <w:jc w:val="center"/>
        <w:rPr>
          <w:rStyle w:val="7"/>
          <w:rFonts w:ascii="黑体" w:hAnsi="黑体" w:eastAsia="黑体" w:cs="宋体"/>
          <w:b w:val="0"/>
          <w:kern w:val="0"/>
          <w:sz w:val="28"/>
          <w:szCs w:val="28"/>
        </w:rPr>
      </w:pPr>
      <w:bookmarkStart w:id="0" w:name="_GoBack"/>
      <w:bookmarkEnd w:id="0"/>
      <w:r>
        <w:rPr>
          <w:rStyle w:val="7"/>
          <w:rFonts w:hint="eastAsia" w:ascii="黑体" w:hAnsi="黑体" w:eastAsia="黑体" w:cs="宋体"/>
          <w:b w:val="0"/>
          <w:kern w:val="0"/>
          <w:sz w:val="28"/>
          <w:szCs w:val="28"/>
        </w:rPr>
        <w:t>新疆银行“金胡杨*X”开放净值型人民币理财产品协议书</w:t>
      </w:r>
    </w:p>
    <w:p>
      <w:pPr>
        <w:widowControl/>
        <w:spacing w:line="400" w:lineRule="exact"/>
        <w:jc w:val="center"/>
        <w:rPr>
          <w:rStyle w:val="7"/>
          <w:rFonts w:ascii="宋体" w:hAnsi="宋体" w:cs="宋体"/>
          <w:kern w:val="0"/>
          <w:sz w:val="18"/>
          <w:szCs w:val="18"/>
        </w:rPr>
      </w:pPr>
      <w:r>
        <w:rPr>
          <w:rStyle w:val="7"/>
          <w:rFonts w:hint="eastAsia" w:ascii="宋体" w:hAnsi="宋体" w:cs="宋体"/>
          <w:kern w:val="0"/>
          <w:sz w:val="18"/>
          <w:szCs w:val="18"/>
        </w:rPr>
        <w:t>理财非存款、产品有风险、投资须谨慎</w:t>
      </w:r>
    </w:p>
    <w:p>
      <w:pPr>
        <w:widowControl/>
        <w:adjustRightInd w:val="0"/>
        <w:snapToGrid w:val="0"/>
        <w:spacing w:beforeLines="50" w:line="360" w:lineRule="auto"/>
        <w:ind w:firstLine="570"/>
        <w:jc w:val="left"/>
        <w:rPr>
          <w:rStyle w:val="7"/>
          <w:rFonts w:cs="宋体" w:asciiTheme="minorEastAsia" w:hAnsiTheme="minorEastAsia" w:eastAsiaTheme="minorEastAsia"/>
          <w:b w:val="0"/>
          <w:kern w:val="0"/>
          <w:szCs w:val="21"/>
        </w:rPr>
      </w:pPr>
      <w:r>
        <w:rPr>
          <w:rStyle w:val="7"/>
          <w:rFonts w:hint="eastAsia" w:cs="宋体" w:asciiTheme="minorEastAsia" w:hAnsiTheme="minorEastAsia" w:eastAsiaTheme="minorEastAsia"/>
          <w:b w:val="0"/>
          <w:kern w:val="0"/>
          <w:szCs w:val="21"/>
        </w:rPr>
        <w:t>甲方（投资者）自愿购买乙方（银行）发行的理财产品，经双方协商一致，签订本协议。本协议为规范甲乙双方在理财业务中权利和义务的法律文件。</w:t>
      </w:r>
    </w:p>
    <w:tbl>
      <w:tblPr>
        <w:tblStyle w:val="8"/>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875"/>
        <w:gridCol w:w="371"/>
        <w:gridCol w:w="1245"/>
        <w:gridCol w:w="200"/>
        <w:gridCol w:w="854"/>
        <w:gridCol w:w="219"/>
        <w:gridCol w:w="486"/>
        <w:gridCol w:w="713"/>
        <w:gridCol w:w="46"/>
        <w:gridCol w:w="1367"/>
        <w:gridCol w:w="18"/>
        <w:gridCol w:w="1106"/>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962" w:type="dxa"/>
            <w:gridSpan w:val="14"/>
            <w:tcBorders>
              <w:bottom w:val="single" w:color="000000" w:sz="4" w:space="0"/>
            </w:tcBorders>
            <w:shd w:val="clear" w:color="auto" w:fill="3399FF"/>
          </w:tcPr>
          <w:p>
            <w:pPr>
              <w:widowControl/>
              <w:jc w:val="center"/>
              <w:rPr>
                <w:rFonts w:cs="宋体" w:asciiTheme="minorEastAsia" w:hAnsiTheme="minorEastAsia" w:eastAsiaTheme="minorEastAsia"/>
                <w:b/>
                <w:color w:val="000000"/>
                <w:kern w:val="0"/>
                <w:sz w:val="22"/>
              </w:rPr>
            </w:pPr>
            <w:r>
              <w:rPr>
                <w:rFonts w:hint="eastAsia" w:cs="宋体" w:asciiTheme="minorEastAsia" w:hAnsiTheme="minorEastAsia" w:eastAsiaTheme="minorEastAsia"/>
                <w:b/>
                <w:color w:val="000000"/>
                <w:kern w:val="0"/>
                <w:sz w:val="2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962" w:type="dxa"/>
            <w:gridSpan w:val="14"/>
            <w:tcBorders>
              <w:bottom w:val="single" w:color="000000" w:sz="4" w:space="0"/>
            </w:tcBorders>
            <w:shd w:val="clear" w:color="auto" w:fill="3399FF"/>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甲方基本信息（投资者基本信息）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9962" w:type="dxa"/>
            <w:gridSpan w:val="14"/>
            <w:tcBorders>
              <w:top w:val="single" w:color="000000" w:sz="4" w:space="0"/>
              <w:left w:val="single" w:color="000000" w:sz="4" w:space="0"/>
              <w:right w:val="single" w:color="000000" w:sz="4" w:space="0"/>
            </w:tcBorders>
            <w:shd w:val="clear" w:color="auto" w:fill="3399FF"/>
          </w:tcPr>
          <w:p>
            <w:pPr>
              <w:jc w:val="center"/>
              <w:rPr>
                <w:rFonts w:cs="宋体" w:asciiTheme="minorEastAsia" w:hAnsiTheme="minorEastAsia" w:eastAsiaTheme="minorEastAsia"/>
                <w:b/>
                <w:color w:val="000000"/>
                <w:kern w:val="0"/>
                <w:sz w:val="22"/>
              </w:rPr>
            </w:pPr>
            <w:r>
              <w:rPr>
                <w:rFonts w:hint="eastAsia" w:cs="宋体" w:asciiTheme="minorEastAsia" w:hAnsiTheme="minorEastAsia" w:eastAsiaTheme="minorEastAsia"/>
                <w:b/>
                <w:color w:val="000000"/>
                <w:kern w:val="0"/>
                <w:sz w:val="22"/>
              </w:rPr>
              <w:t>个人投资者填写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245"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姓名</w:t>
            </w:r>
          </w:p>
        </w:tc>
        <w:tc>
          <w:tcPr>
            <w:tcW w:w="1246"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245"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性别</w:t>
            </w:r>
          </w:p>
        </w:tc>
        <w:tc>
          <w:tcPr>
            <w:tcW w:w="1273" w:type="dxa"/>
            <w:gridSpan w:val="3"/>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245" w:type="dxa"/>
            <w:gridSpan w:val="3"/>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国籍</w:t>
            </w:r>
          </w:p>
        </w:tc>
        <w:tc>
          <w:tcPr>
            <w:tcW w:w="1385"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106"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职业</w:t>
            </w:r>
          </w:p>
        </w:tc>
        <w:tc>
          <w:tcPr>
            <w:tcW w:w="1217"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245"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证件种类</w:t>
            </w:r>
          </w:p>
        </w:tc>
        <w:tc>
          <w:tcPr>
            <w:tcW w:w="1246"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245"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证件号码</w:t>
            </w:r>
          </w:p>
        </w:tc>
        <w:tc>
          <w:tcPr>
            <w:tcW w:w="2518" w:type="dxa"/>
            <w:gridSpan w:val="6"/>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385"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证件有效期</w:t>
            </w:r>
          </w:p>
        </w:tc>
        <w:tc>
          <w:tcPr>
            <w:tcW w:w="2323"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245" w:type="dxa"/>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家庭地址</w:t>
            </w:r>
          </w:p>
        </w:tc>
        <w:tc>
          <w:tcPr>
            <w:tcW w:w="5009" w:type="dxa"/>
            <w:gridSpan w:val="9"/>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385"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联系电话</w:t>
            </w:r>
          </w:p>
        </w:tc>
        <w:tc>
          <w:tcPr>
            <w:tcW w:w="2323" w:type="dxa"/>
            <w:gridSpan w:val="2"/>
            <w:tcBorders>
              <w:top w:val="single" w:color="000000" w:sz="4" w:space="0"/>
              <w:left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单位地址</w:t>
            </w:r>
          </w:p>
        </w:tc>
        <w:tc>
          <w:tcPr>
            <w:tcW w:w="5009"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手机号码</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left"/>
              <w:rPr>
                <w:rFonts w:cs="宋体" w:asciiTheme="minorEastAsia" w:hAnsiTheme="minorEastAsia" w:eastAsiaTheme="minorEastAsia"/>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9962" w:type="dxa"/>
            <w:gridSpan w:val="14"/>
            <w:tcBorders>
              <w:top w:val="single" w:color="000000" w:sz="4" w:space="0"/>
              <w:left w:val="single" w:color="000000" w:sz="4" w:space="0"/>
              <w:bottom w:val="single" w:color="000000" w:sz="4" w:space="0"/>
              <w:right w:val="single" w:color="000000" w:sz="4" w:space="0"/>
            </w:tcBorders>
            <w:shd w:val="clear" w:color="auto" w:fill="3399FF"/>
          </w:tcPr>
          <w:p>
            <w:pPr>
              <w:widowControl/>
              <w:jc w:val="center"/>
              <w:rPr>
                <w:rFonts w:cs="宋体" w:asciiTheme="minorEastAsia" w:hAnsiTheme="minorEastAsia" w:eastAsiaTheme="minorEastAsia"/>
                <w:b/>
                <w:color w:val="000000"/>
                <w:kern w:val="0"/>
                <w:sz w:val="22"/>
                <w:highlight w:val="cyan"/>
              </w:rPr>
            </w:pPr>
            <w:r>
              <w:rPr>
                <w:rFonts w:hint="eastAsia" w:cs="宋体" w:asciiTheme="minorEastAsia" w:hAnsiTheme="minorEastAsia" w:eastAsiaTheme="minorEastAsia"/>
                <w:b/>
                <w:color w:val="000000"/>
                <w:kern w:val="0"/>
                <w:sz w:val="22"/>
              </w:rPr>
              <w:t>单位投资者填写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单位名称</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证件种类</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注册地址</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证件号码</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通讯地址</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证件有效期</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经办人姓名</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法定代表人姓名</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经办人证件种类</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法定代表人证件种类</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经办人证件号码</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法定代表人证件号码</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经办人证件有效期</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法定代表人证件有效期</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联系电话</w:t>
            </w:r>
          </w:p>
        </w:tc>
        <w:tc>
          <w:tcPr>
            <w:tcW w:w="288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261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联系电话</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962" w:type="dxa"/>
            <w:gridSpan w:val="14"/>
            <w:shd w:val="clear" w:color="auto" w:fill="3399FF"/>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乙方基本信息（银行基本信息）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乙    方</w:t>
            </w:r>
          </w:p>
        </w:tc>
        <w:tc>
          <w:tcPr>
            <w:tcW w:w="8717" w:type="dxa"/>
            <w:gridSpan w:val="13"/>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新疆银行股份有限公司</w:t>
            </w:r>
            <w:r>
              <w:rPr>
                <w:rFonts w:hint="eastAsia" w:cs="宋体" w:asciiTheme="minorEastAsia" w:hAnsiTheme="minorEastAsia" w:eastAsiaTheme="minorEastAsia"/>
                <w:color w:val="000000"/>
                <w:kern w:val="0"/>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联系地址</w:t>
            </w:r>
          </w:p>
        </w:tc>
        <w:tc>
          <w:tcPr>
            <w:tcW w:w="3545" w:type="dxa"/>
            <w:gridSpan w:val="5"/>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gridSpan w:val="3"/>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邮政编码</w:t>
            </w:r>
          </w:p>
        </w:tc>
        <w:tc>
          <w:tcPr>
            <w:tcW w:w="3754" w:type="dxa"/>
            <w:gridSpan w:val="5"/>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联系电话</w:t>
            </w:r>
          </w:p>
        </w:tc>
        <w:tc>
          <w:tcPr>
            <w:tcW w:w="3545" w:type="dxa"/>
            <w:gridSpan w:val="5"/>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418" w:type="dxa"/>
            <w:gridSpan w:val="3"/>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3754" w:type="dxa"/>
            <w:gridSpan w:val="5"/>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962" w:type="dxa"/>
            <w:gridSpan w:val="14"/>
            <w:shd w:val="clear" w:color="auto" w:fill="3399FF"/>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业务基本信息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    务</w:t>
            </w:r>
          </w:p>
        </w:tc>
        <w:tc>
          <w:tcPr>
            <w:tcW w:w="8717" w:type="dxa"/>
            <w:gridSpan w:val="13"/>
          </w:tcPr>
          <w:p>
            <w:pPr>
              <w:widowControl/>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□认购      □申购        □赎回        □撤单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产品名称</w:t>
            </w:r>
          </w:p>
        </w:tc>
        <w:tc>
          <w:tcPr>
            <w:tcW w:w="2691" w:type="dxa"/>
            <w:gridSpan w:val="4"/>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59" w:type="dxa"/>
            <w:gridSpan w:val="3"/>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产品代码</w:t>
            </w:r>
          </w:p>
        </w:tc>
        <w:tc>
          <w:tcPr>
            <w:tcW w:w="4467" w:type="dxa"/>
            <w:gridSpan w:val="6"/>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245" w:type="dxa"/>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交易币种</w:t>
            </w:r>
          </w:p>
        </w:tc>
        <w:tc>
          <w:tcPr>
            <w:tcW w:w="2691" w:type="dxa"/>
            <w:gridSpan w:val="4"/>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1559" w:type="dxa"/>
            <w:gridSpan w:val="3"/>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交易金额</w:t>
            </w:r>
          </w:p>
        </w:tc>
        <w:tc>
          <w:tcPr>
            <w:tcW w:w="4467" w:type="dxa"/>
            <w:gridSpan w:val="6"/>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大写：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5" w:type="dxa"/>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卡/账号</w:t>
            </w:r>
          </w:p>
        </w:tc>
        <w:tc>
          <w:tcPr>
            <w:tcW w:w="2691" w:type="dxa"/>
            <w:gridSpan w:val="4"/>
            <w:tcBorders>
              <w:bottom w:val="single" w:color="000000" w:sz="4" w:space="0"/>
            </w:tcBorders>
          </w:tcPr>
          <w:p>
            <w:pPr>
              <w:widowControl/>
              <w:jc w:val="left"/>
              <w:rPr>
                <w:rFonts w:cs="宋体" w:asciiTheme="minorEastAsia" w:hAnsiTheme="minorEastAsia" w:eastAsiaTheme="minorEastAsia"/>
                <w:color w:val="000000"/>
                <w:kern w:val="0"/>
                <w:sz w:val="22"/>
              </w:rPr>
            </w:pPr>
          </w:p>
        </w:tc>
        <w:tc>
          <w:tcPr>
            <w:tcW w:w="1559" w:type="dxa"/>
            <w:gridSpan w:val="3"/>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交易份额</w:t>
            </w:r>
          </w:p>
        </w:tc>
        <w:tc>
          <w:tcPr>
            <w:tcW w:w="4467" w:type="dxa"/>
            <w:gridSpan w:val="6"/>
            <w:tcBorders>
              <w:bottom w:val="single" w:color="000000" w:sz="4" w:space="0"/>
            </w:tcBorders>
          </w:tcPr>
          <w:p>
            <w:pPr>
              <w:widowControl/>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tabs>
                <w:tab w:val="left" w:pos="8070"/>
                <w:tab w:val="right" w:pos="8306"/>
              </w:tabs>
              <w:adjustRightInd w:val="0"/>
              <w:snapToGrid w:val="0"/>
              <w:spacing w:line="360" w:lineRule="auto"/>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 xml:space="preserve">    新疆银</w:t>
            </w:r>
            <w:r>
              <w:rPr>
                <w:rFonts w:hint="eastAsia" w:asciiTheme="minorEastAsia" w:hAnsiTheme="minorEastAsia" w:eastAsiaTheme="minorEastAsia"/>
                <w:szCs w:val="21"/>
              </w:rPr>
              <w:t>“金胡杨”净值型</w:t>
            </w:r>
            <w:r>
              <w:rPr>
                <w:rFonts w:hint="eastAsia" w:cs="宋体" w:asciiTheme="minorEastAsia" w:hAnsiTheme="minorEastAsia" w:eastAsiaTheme="minorEastAsia"/>
                <w:bCs/>
                <w:kern w:val="0"/>
                <w:szCs w:val="21"/>
              </w:rPr>
              <w:t>人民币理财产品理财合同由《风险揭示书》、《产品说明书》、《客户权益须知》、本协议书及客户签署的相关业务凭证共同组成。</w:t>
            </w:r>
          </w:p>
          <w:p>
            <w:pPr>
              <w:widowControl/>
              <w:tabs>
                <w:tab w:val="left" w:pos="8070"/>
                <w:tab w:val="right" w:pos="8306"/>
              </w:tabs>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理财产品的具体风险和要素详见《风险揭示书》、《产品说明书》和《客户权益须知》等相关文件，上述文件为本协议不可分割的组成部分。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vAlign w:val="center"/>
          </w:tcPr>
          <w:p>
            <w:pPr>
              <w:widowControl/>
              <w:tabs>
                <w:tab w:val="left" w:pos="8070"/>
                <w:tab w:val="right" w:pos="8306"/>
              </w:tabs>
              <w:adjustRightInd w:val="0"/>
              <w:snapToGrid w:val="0"/>
              <w:spacing w:line="360" w:lineRule="auto"/>
              <w:jc w:val="center"/>
              <w:rPr>
                <w:rFonts w:cs="宋体" w:asciiTheme="minorEastAsia" w:hAnsiTheme="minorEastAsia" w:eastAsiaTheme="minorEastAsia"/>
                <w:b/>
                <w:bCs/>
                <w:kern w:val="0"/>
                <w:szCs w:val="21"/>
              </w:rPr>
            </w:pPr>
            <w:r>
              <w:rPr>
                <w:rStyle w:val="7"/>
                <w:rFonts w:hint="eastAsia" w:cs="宋体" w:asciiTheme="minorEastAsia" w:hAnsiTheme="minorEastAsia" w:eastAsiaTheme="minorEastAsia"/>
                <w:kern w:val="0"/>
                <w:szCs w:val="21"/>
              </w:rPr>
              <w:t>二、甲方申明与保证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tabs>
                <w:tab w:val="left" w:pos="0"/>
              </w:tabs>
              <w:adjustRightInd w:val="0"/>
              <w:snapToGrid w:val="0"/>
              <w:spacing w:line="360" w:lineRule="auto"/>
              <w:ind w:firstLine="36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（一）个人投资者申明与保证：</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rPr>
              <w:t>甲方具有完全民事行为能力，以本人合法所有的资金购买理财产品；</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2.甲方为港、澳、台人士或外籍人士的，其购买理财产品的资质及资金符合相关法律法规及监管的要求；</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3.甲方已如实向乙方披露其风险承受能力状况及相关信息，并签署、确认《风险评估问卷》、《风险揭示书》；如发生可能影响其风险承受能力的情况，甲方应及时进行风险承受能力再评估；</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甲方清楚知晓、接受并承诺遵守理财产品合同，对其条款内容不存在任何疑问或异议，清楚了解所购买理财产品的收益类型、适用客户类别、主要风险、投资方向、流动性等内容，完全知晓理财产品可能出现的各种风险，愿意并能够承担这些风险；</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5.乙方向甲方提供的产品分析及预测仅供参考，甲方据此做出的任何决策出于甲方自己的判断，投资决策风险由甲方自行承担。</w:t>
            </w:r>
          </w:p>
          <w:p>
            <w:pPr>
              <w:widowControl/>
              <w:tabs>
                <w:tab w:val="left" w:pos="0"/>
              </w:tabs>
              <w:adjustRightInd w:val="0"/>
              <w:snapToGrid w:val="0"/>
              <w:spacing w:line="360" w:lineRule="auto"/>
              <w:ind w:firstLine="36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（二）机构投资者申明与保证</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1.甲方为依法设立的企业法人、事业法人、社会团体或其他组织，依据相应法律法规有投资理财产品的资格；</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签署和履行本协议系甲方的真实意思表示，已经按照其章程或其他内部管理文件的要求取得合法、有效的授权，且不会违反对甲方有约束力的任何协议、合同和其他法律文件；甲方已经或将会取得签订和履行本协议所需的一切有关批准、许可、备案或登记；</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3.甲方用于购买理财产品的资金为其合法所有并具有完全的占有、使用、收益、处分权，该资金可合法投资于理财产品而不存在任何禁止或限制的情形；</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4.甲方已如实、完整地向乙方披露其风险承受能力及相关信息；</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5.甲方授权代理人已得到签署理财产品合同的充分有效授权。甲方的法定代表人或授权代理人具有完全的民事行为能力并已详细阅读本协议、《风险揭示书》、《产品说明书》、《权益须知》等理财合同文本，清楚知晓、接受并承诺遵守理财产品合同，对其条款内容不存在任何疑问或异议，清楚了解所购买理财产品的收益类型、适用客户类别、主要风险、投资方向、流动性等内容，完全知晓理财产品可能出现的各种风险，愿意并能够承担这些风险；</w:t>
            </w:r>
          </w:p>
          <w:p>
            <w:pPr>
              <w:widowControl/>
              <w:tabs>
                <w:tab w:val="left" w:pos="0"/>
              </w:tabs>
              <w:adjustRightInd w:val="0"/>
              <w:snapToGrid w:val="0"/>
              <w:spacing w:line="360" w:lineRule="auto"/>
              <w:ind w:firstLine="36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6.乙方向甲方提供的产品分析及预测仅供参考，甲方据此做出的任何决策出于甲方自己的判断，投资决策风险由甲方自行承担。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tcPr>
          <w:p>
            <w:pPr>
              <w:widowControl/>
              <w:tabs>
                <w:tab w:val="left" w:pos="8070"/>
                <w:tab w:val="right" w:pos="8306"/>
              </w:tabs>
              <w:adjustRightInd w:val="0"/>
              <w:snapToGrid w:val="0"/>
              <w:spacing w:line="360" w:lineRule="auto"/>
              <w:jc w:val="center"/>
              <w:rPr>
                <w:rFonts w:cs="宋体" w:asciiTheme="minorEastAsia" w:hAnsiTheme="minorEastAsia" w:eastAsiaTheme="minorEastAsia"/>
                <w:b/>
                <w:bCs/>
                <w:kern w:val="0"/>
                <w:szCs w:val="21"/>
              </w:rPr>
            </w:pPr>
            <w:r>
              <w:rPr>
                <w:rStyle w:val="7"/>
                <w:rFonts w:hint="eastAsia" w:cs="宋体" w:asciiTheme="minorEastAsia" w:hAnsiTheme="minorEastAsia" w:eastAsiaTheme="minorEastAsia"/>
                <w:kern w:val="0"/>
                <w:szCs w:val="21"/>
              </w:rPr>
              <w:t>三、风险提示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tabs>
                <w:tab w:val="left" w:pos="8070"/>
                <w:tab w:val="right" w:pos="8306"/>
              </w:tabs>
              <w:adjustRightInd w:val="0"/>
              <w:snapToGrid w:val="0"/>
              <w:spacing w:line="360" w:lineRule="auto"/>
              <w:ind w:firstLine="40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乙方销售的理财产品与存款存在明显区别，投资理财产品可能面临政策风险、市场风险、信用风险、流动性风险等，具体详见《风险揭示书》。甲方在购买理财产品前，应仔细阅读并充分理解该理财产品的详细条款及可能发生的风险。</w:t>
            </w:r>
          </w:p>
          <w:p>
            <w:pPr>
              <w:widowControl/>
              <w:tabs>
                <w:tab w:val="left" w:pos="8070"/>
                <w:tab w:val="right" w:pos="8306"/>
              </w:tabs>
              <w:adjustRightInd w:val="0"/>
              <w:snapToGrid w:val="0"/>
              <w:spacing w:line="360" w:lineRule="auto"/>
              <w:ind w:firstLine="40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2.非保本浮动收益净值型理财产品：不保证甲方理财资金本金和收益，甲方可能会蒙受不同程度的损失（包括不同程度本金损失），甲方应充分认识投资风险，谨慎投资。</w:t>
            </w:r>
          </w:p>
          <w:p>
            <w:pPr>
              <w:widowControl/>
              <w:tabs>
                <w:tab w:val="left" w:pos="8070"/>
                <w:tab w:val="right" w:pos="8306"/>
              </w:tabs>
              <w:adjustRightInd w:val="0"/>
              <w:snapToGrid w:val="0"/>
              <w:spacing w:line="360" w:lineRule="auto"/>
              <w:ind w:firstLine="40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3.理财产品业绩表现将随市场波动，具有不确定性，业绩比较基准仅供甲方参考，不构成新疆银行对产品实际投资收益率的承诺或担保，客户的实际收益由产品净值决定。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tcPr>
          <w:p>
            <w:pPr>
              <w:widowControl/>
              <w:tabs>
                <w:tab w:val="left" w:pos="8070"/>
                <w:tab w:val="right" w:pos="8306"/>
              </w:tabs>
              <w:adjustRightInd w:val="0"/>
              <w:snapToGrid w:val="0"/>
              <w:spacing w:line="360" w:lineRule="auto"/>
              <w:jc w:val="center"/>
              <w:rPr>
                <w:rFonts w:cs="宋体" w:asciiTheme="minorEastAsia" w:hAnsiTheme="minorEastAsia" w:eastAsiaTheme="minorEastAsia"/>
                <w:bCs/>
                <w:kern w:val="0"/>
                <w:szCs w:val="21"/>
              </w:rPr>
            </w:pPr>
            <w:r>
              <w:rPr>
                <w:rStyle w:val="7"/>
                <w:rFonts w:hint="eastAsia" w:cs="宋体" w:asciiTheme="minorEastAsia" w:hAnsiTheme="minorEastAsia" w:eastAsiaTheme="minorEastAsia"/>
                <w:kern w:val="0"/>
                <w:szCs w:val="21"/>
              </w:rPr>
              <w:t>四、双方权利与义务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1.甲方有权依照理财产品合同约定获取理财收益，在约定的投资期内，理财资金本金不另计存款利息。</w:t>
            </w:r>
          </w:p>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2.甲方有权充分了解理财产品合同的条款以及可能发生的风险，充分了解理财产品的管理、运用、处分及收支情况，并有权要求乙方按照有关程序做出说明。</w:t>
            </w:r>
          </w:p>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3.甲方有义务保证理财资金的来源合法，购买理财产品的行为符合法律法规、监管规定及国家政策。</w:t>
            </w:r>
          </w:p>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4.甲方有义务保证所提供的信息、资料真实有效，如变更，应及时到乙方办理变更登记，因甲方未及时办理相关变更手续而造成的损失，乙方不承担责任。本协议履行过程中乙方需联系甲方时，乙方按照本协议中约定的联系或通知方式联系甲方，其中对其代理人的通知视为对甲方的通知。</w:t>
            </w:r>
          </w:p>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5.甲方有义务在其资金账户（下称“甲方资金账户”） 中预留足额的认/申购资金，并按照理财产品合同和乙方业务规则办理认/申购、赎回、转让理财产品，缴纳认/申购、赎回、转让相关费用。如因甲方资金账户冻结、挂失、换卡、销户、长期不动户、变更或其他甲方原因导致理财认/申购、赎回、转让等行为无效的，乙方不承担责任。</w:t>
            </w:r>
          </w:p>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6.甲方有义务在理财产品到期日前，不提前支取本金、收益或要求乙方提前退还被扣划款项，且不得将甲方用于购买理财产品或返还本金、收益的资金账户销户。</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7.对于风险评级为R4（含）以上的理财产品的交易，甲方愿意选择以下任意一种方式进行，并按照乙方相关业务规则处理：（1）在乙方网点进行；（2）在乙方网点外的其他渠道(包括但不限于网上银行、 手机银行等渠道)</w:t>
            </w:r>
            <w:r>
              <w:rPr>
                <w:rFonts w:asciiTheme="minorEastAsia" w:hAnsiTheme="minorEastAsia" w:eastAsiaTheme="minorEastAsia"/>
                <w:szCs w:val="21"/>
              </w:rPr>
              <w:t xml:space="preserve"> </w:t>
            </w:r>
            <w:r>
              <w:rPr>
                <w:rFonts w:hint="eastAsia" w:asciiTheme="minorEastAsia" w:hAnsiTheme="minorEastAsia" w:eastAsiaTheme="minorEastAsia"/>
                <w:szCs w:val="21"/>
              </w:rPr>
              <w:t>进行。</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8.乙方有权确定理财产品的销售渠道（包括但不限于网点柜台、网上银行、手机银行）及其覆盖范围，并及时通知甲方。</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9.乙方有权依据理财产品合同独立对理财资金进行投资管理，并可委托经相关监管机构批准或认可的其他金融机构对理财资金进行投资管理。</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10.乙方有权从甲方资金账户扣划本协议项下理财产品相应认/申购资金等理财款项； 除非双方另有书面约定，在甲方购买风险较高或单笔金额较大的理财产品情形下，乙方进行上述资金扣划时无须与甲方再进行电话等任何方式的最后确认，如甲方不同意购买该理财产品且《产品说明书》约定可以撤销购买，甲方应在乙方规定的交易截止时点前及时通知乙方。</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11.乙方有权依据理财产品合同决定理财资金本金和收益分配方案；乙方有权向甲方收取一定的理财产品管理费、销售费、托管费等相关费用，具体收费项目、条件、方式和标准详见《产品说明书》。</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12.认购期满，如募集资金未达到《产品说明书》所规定的规模下限，乙方有权终止该理财产品或相应延长认购期；如提前达到《产品说明书》所规定的募集金额上限，乙方有权提前结束认购并相应调整理财产品起息日和到期日。 </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13.乙方依约定将理财的本金及收益划入甲方资金账户，即视为向甲方完成支付义务。</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14.乙方有义务根据恪守信用、勤勉尽责的原则管理和运用理财产品财产，维护甲方利益。</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15.乙方有义务按照《产品说明书》的约定在相应渠道上披露理财产品相关信息。</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16.除另有约定外，乙方不负责代扣代缴甲方应缴纳的税款。</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17.甲、乙双方对本协议及其条款负有保密义务。除法律法规、监管规定另有要求外，未经一方书面认可，另一方不得向任何组织、个人提供或泄露与对方有关的资料和信息</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甲方知晓并同意：乙方根据适用的法律法规、监管规定对投资者及持有的理财产品的相关信息进行登记，并传输给银行业理财登记托管中心。</w:t>
            </w:r>
          </w:p>
          <w:p>
            <w:pPr>
              <w:widowControl/>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18.法律法规、监管规定和理财产品合同规定的其他权利和义务。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tcPr>
          <w:p>
            <w:pPr>
              <w:widowControl/>
              <w:tabs>
                <w:tab w:val="left" w:pos="8070"/>
                <w:tab w:val="right" w:pos="8306"/>
              </w:tabs>
              <w:adjustRightInd w:val="0"/>
              <w:snapToGrid w:val="0"/>
              <w:spacing w:line="360" w:lineRule="auto"/>
              <w:jc w:val="center"/>
              <w:rPr>
                <w:rFonts w:cs="宋体" w:asciiTheme="minorEastAsia" w:hAnsiTheme="minorEastAsia" w:eastAsiaTheme="minorEastAsia"/>
                <w:bCs/>
                <w:kern w:val="0"/>
                <w:szCs w:val="21"/>
              </w:rPr>
            </w:pPr>
            <w:r>
              <w:rPr>
                <w:rStyle w:val="7"/>
                <w:rFonts w:hint="eastAsia" w:cs="宋体" w:asciiTheme="minorEastAsia" w:hAnsiTheme="minorEastAsia" w:eastAsiaTheme="minorEastAsia"/>
                <w:kern w:val="0"/>
                <w:szCs w:val="21"/>
              </w:rPr>
              <w:t>五、违约责任与争议处理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1.一方不能履行或不能完全履行理财产品合同的，应承担违约责任。</w:t>
            </w:r>
          </w:p>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因法律法规、监管规定、监管部门政策变化、自然灾害、意外事故、战争、系统故障、通讯故障等乙方不能控制或不可归责于乙方的因素，导致乙方无法履行本协议及其他理财产品合同的，乙方不承担责任，但乙方应在条件允许的情况下采取必要的补救措施，以减少损失。</w:t>
            </w:r>
          </w:p>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本协议及理财产品合同均适用中华人民共和国法律。本协议项下的任何争议，双方应通过友好协商解决；若协商不成，依法向乙方所在地人民法院提起诉讼。在争议解决期间，若该争议不影响本协议及理财产品合同其他条款的履行，则该其他条款应继续履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tcPr>
          <w:p>
            <w:pPr>
              <w:widowControl/>
              <w:tabs>
                <w:tab w:val="left" w:pos="8070"/>
                <w:tab w:val="right" w:pos="8306"/>
              </w:tabs>
              <w:adjustRightInd w:val="0"/>
              <w:snapToGrid w:val="0"/>
              <w:spacing w:line="360" w:lineRule="auto"/>
              <w:jc w:val="center"/>
              <w:rPr>
                <w:rFonts w:cs="宋体" w:asciiTheme="minorEastAsia" w:hAnsiTheme="minorEastAsia" w:eastAsiaTheme="minorEastAsia"/>
                <w:bCs/>
                <w:kern w:val="0"/>
                <w:szCs w:val="21"/>
              </w:rPr>
            </w:pPr>
            <w:r>
              <w:rPr>
                <w:rStyle w:val="7"/>
                <w:rFonts w:hint="eastAsia" w:cs="宋体" w:asciiTheme="minorEastAsia" w:hAnsiTheme="minorEastAsia" w:eastAsiaTheme="minorEastAsia"/>
                <w:kern w:val="0"/>
                <w:szCs w:val="21"/>
              </w:rPr>
              <w:t>六、协议的签署和生效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tcBorders>
              <w:bottom w:val="single" w:color="000000" w:sz="4" w:space="0"/>
            </w:tcBorders>
          </w:tcPr>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1.甲方为个人投资者的，本协议经甲方签字，乙方盖章后生效；甲方为机构投资者的，本协议经甲方法定代表人或授权代理人签章并加盖法人公章，乙方盖章后生效；</w:t>
            </w:r>
          </w:p>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Style w:val="7"/>
                <w:rFonts w:hint="eastAsia" w:cs="宋体" w:asciiTheme="minorEastAsia" w:hAnsiTheme="minorEastAsia" w:eastAsiaTheme="minorEastAsia"/>
                <w:b w:val="0"/>
                <w:kern w:val="0"/>
                <w:szCs w:val="21"/>
              </w:rPr>
              <w:t xml:space="preserve"> 若甲方通过乙方电子渠道（包括但不限于网上银行、手机银行等）购买，则本协议经甲方确认并经乙方销售系统确认成交之日起生效。</w:t>
            </w:r>
          </w:p>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3.除《产品说明书》约定的提前终止情形外，甲方有违约行为或甲方资金账户被有权机关冻结、扣划时，乙方有权提前终止本合同，且乙方不承担任何责任。</w:t>
            </w:r>
          </w:p>
          <w:p>
            <w:pPr>
              <w:widowControl/>
              <w:tabs>
                <w:tab w:val="left" w:pos="0"/>
              </w:tabs>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4.本协议一式两份，具有同等法律效力，甲乙双方各执一份。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62" w:type="dxa"/>
            <w:gridSpan w:val="14"/>
            <w:shd w:val="clear" w:color="auto" w:fill="3399FF"/>
          </w:tcPr>
          <w:p>
            <w:pPr>
              <w:widowControl/>
              <w:tabs>
                <w:tab w:val="left" w:pos="8070"/>
                <w:tab w:val="right" w:pos="8306"/>
              </w:tabs>
              <w:adjustRightInd w:val="0"/>
              <w:snapToGrid w:val="0"/>
              <w:spacing w:line="360" w:lineRule="auto"/>
              <w:jc w:val="center"/>
              <w:rPr>
                <w:rFonts w:cs="宋体" w:asciiTheme="minorEastAsia" w:hAnsiTheme="minorEastAsia" w:eastAsiaTheme="minorEastAsia"/>
                <w:bCs/>
                <w:kern w:val="0"/>
                <w:szCs w:val="21"/>
              </w:rPr>
            </w:pPr>
            <w:r>
              <w:rPr>
                <w:rStyle w:val="7"/>
                <w:rFonts w:hint="eastAsia" w:cs="宋体" w:asciiTheme="minorEastAsia" w:hAnsiTheme="minorEastAsia" w:eastAsiaTheme="minorEastAsia"/>
                <w:kern w:val="0"/>
                <w:szCs w:val="21"/>
              </w:rPr>
              <w:t>协议签署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4" w:hRule="atLeast"/>
        </w:trPr>
        <w:tc>
          <w:tcPr>
            <w:tcW w:w="9962" w:type="dxa"/>
            <w:gridSpan w:val="14"/>
          </w:tcPr>
          <w:p>
            <w:pPr>
              <w:widowControl/>
              <w:tabs>
                <w:tab w:val="left" w:pos="0"/>
              </w:tabs>
              <w:adjustRightInd w:val="0"/>
              <w:snapToGri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甲方声明：</w:t>
            </w:r>
          </w:p>
          <w:p>
            <w:pPr>
              <w:widowControl/>
              <w:tabs>
                <w:tab w:val="left" w:pos="0"/>
              </w:tabs>
              <w:adjustRightInd w:val="0"/>
              <w:snapToGri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一）甲方已经收到所购买理财产品相关的《风险揭示书》、《产品说明书》和《客户权益须知》，并已完全理解和接受上述文件及本协议的全部内容，清楚了解所购买理财产品的内容及风险。甲方的投资决策完全出于自身独立自主判断做出，并愿意承担所购买（或赎回、撤单）理财产品所产生的相关风险和全部后果。</w:t>
            </w: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rPr>
            </w:pPr>
            <w:r>
              <w:rPr>
                <w:rFonts w:hint="eastAsia" w:asciiTheme="minorEastAsia" w:hAnsiTheme="minorEastAsia" w:eastAsiaTheme="minorEastAsia"/>
                <w:b/>
                <w:szCs w:val="21"/>
              </w:rPr>
              <w:t>（二）甲方确认乙方相关业务人员对本协议中有关甲乙双方的权利义务，及甲乙双方单方面拥有的某些权利和限制性义务予以解释说明，甲方愿意接受上述条款约束，双方对本协议条款的理解已完全达成一致。</w:t>
            </w: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rPr>
            </w:pP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u w:val="single"/>
              </w:rPr>
            </w:pPr>
            <w:r>
              <w:rPr>
                <w:rFonts w:hint="eastAsia" w:asciiTheme="minorEastAsia" w:hAnsiTheme="minorEastAsia" w:eastAsiaTheme="minorEastAsia"/>
                <w:b/>
                <w:szCs w:val="21"/>
              </w:rPr>
              <w:t>甲方：                                         乙方：新疆银行股份有限公司</w:t>
            </w:r>
            <w:r>
              <w:rPr>
                <w:rFonts w:hint="eastAsia" w:asciiTheme="minorEastAsia" w:hAnsiTheme="minorEastAsia" w:eastAsiaTheme="minorEastAsia"/>
                <w:b/>
                <w:szCs w:val="21"/>
                <w:u w:val="single"/>
              </w:rPr>
              <w:t xml:space="preserve">            </w:t>
            </w: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rPr>
            </w:pP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rPr>
            </w:pPr>
            <w:r>
              <w:rPr>
                <w:rFonts w:hint="eastAsia" w:asciiTheme="minorEastAsia" w:hAnsiTheme="minorEastAsia" w:eastAsiaTheme="minorEastAsia"/>
                <w:b/>
                <w:szCs w:val="21"/>
              </w:rPr>
              <w:t>法定代表人/授权代理人：                        理财经理：</w:t>
            </w:r>
          </w:p>
          <w:p>
            <w:pPr>
              <w:widowControl/>
              <w:tabs>
                <w:tab w:val="left" w:pos="0"/>
              </w:tabs>
              <w:adjustRightInd w:val="0"/>
              <w:snapToGrid w:val="0"/>
              <w:spacing w:line="360" w:lineRule="auto"/>
              <w:ind w:firstLine="413" w:firstLineChars="196"/>
              <w:jc w:val="left"/>
              <w:rPr>
                <w:rFonts w:asciiTheme="minorEastAsia" w:hAnsiTheme="minorEastAsia" w:eastAsiaTheme="minorEastAsia"/>
                <w:b/>
                <w:szCs w:val="21"/>
              </w:rPr>
            </w:pPr>
            <w:r>
              <w:rPr>
                <w:rFonts w:hint="eastAsia" w:asciiTheme="minorEastAsia" w:hAnsiTheme="minorEastAsia" w:eastAsiaTheme="minorEastAsia"/>
                <w:b/>
                <w:szCs w:val="21"/>
              </w:rPr>
              <w:t>日期：                                         理财经理证书编号：</w:t>
            </w:r>
          </w:p>
          <w:p>
            <w:pPr>
              <w:widowControl/>
              <w:tabs>
                <w:tab w:val="left" w:pos="0"/>
              </w:tabs>
              <w:adjustRightInd w:val="0"/>
              <w:snapToGrid w:val="0"/>
              <w:spacing w:line="360" w:lineRule="auto"/>
              <w:ind w:firstLine="5285" w:firstLineChars="2507"/>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日期： </w:t>
            </w:r>
          </w:p>
        </w:tc>
      </w:tr>
    </w:tbl>
    <w:p>
      <w:pPr>
        <w:spacing w:line="360" w:lineRule="auto"/>
        <w:rPr>
          <w:rFonts w:cs="宋体" w:asciiTheme="minorEastAsia" w:hAnsiTheme="minorEastAsia" w:eastAsiaTheme="minorEastAsia"/>
          <w:bCs/>
          <w:kern w:val="0"/>
          <w:szCs w:val="21"/>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6986"/>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1857375" cy="3619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10000" contrast="40000"/>
                  </a:blip>
                  <a:srcRect/>
                  <a:stretch>
                    <a:fillRect/>
                  </a:stretch>
                </pic:blipFill>
                <pic:spPr>
                  <a:xfrm>
                    <a:off x="0" y="0"/>
                    <a:ext cx="1857375" cy="361950"/>
                  </a:xfrm>
                  <a:prstGeom prst="rect">
                    <a:avLst/>
                  </a:prstGeom>
                  <a:noFill/>
                  <a:ln w="9525">
                    <a:noFill/>
                    <a:miter lim="800000"/>
                    <a:headEnd/>
                    <a:tailEnd/>
                  </a:ln>
                </pic:spPr>
              </pic:pic>
            </a:graphicData>
          </a:graphic>
        </wp:anchor>
      </w:drawing>
    </w: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E4"/>
    <w:rsid w:val="00001B27"/>
    <w:rsid w:val="00005909"/>
    <w:rsid w:val="0000676D"/>
    <w:rsid w:val="00027AA5"/>
    <w:rsid w:val="000331E4"/>
    <w:rsid w:val="00045869"/>
    <w:rsid w:val="000533F1"/>
    <w:rsid w:val="000576A0"/>
    <w:rsid w:val="00061366"/>
    <w:rsid w:val="000660F0"/>
    <w:rsid w:val="00067119"/>
    <w:rsid w:val="0006774E"/>
    <w:rsid w:val="000814B2"/>
    <w:rsid w:val="00094495"/>
    <w:rsid w:val="000C6731"/>
    <w:rsid w:val="000D0F1B"/>
    <w:rsid w:val="000F2C67"/>
    <w:rsid w:val="000F409C"/>
    <w:rsid w:val="001247FC"/>
    <w:rsid w:val="001348EF"/>
    <w:rsid w:val="0019089E"/>
    <w:rsid w:val="00197EC6"/>
    <w:rsid w:val="001B2259"/>
    <w:rsid w:val="001D0707"/>
    <w:rsid w:val="001F5AEA"/>
    <w:rsid w:val="00224CC2"/>
    <w:rsid w:val="00232FA8"/>
    <w:rsid w:val="002379BB"/>
    <w:rsid w:val="00242881"/>
    <w:rsid w:val="002641E5"/>
    <w:rsid w:val="00271EA0"/>
    <w:rsid w:val="00284E3E"/>
    <w:rsid w:val="002B57A4"/>
    <w:rsid w:val="002B78D0"/>
    <w:rsid w:val="002D27C5"/>
    <w:rsid w:val="002F560B"/>
    <w:rsid w:val="002F6EC4"/>
    <w:rsid w:val="00300253"/>
    <w:rsid w:val="0031502F"/>
    <w:rsid w:val="003317D7"/>
    <w:rsid w:val="0034756F"/>
    <w:rsid w:val="00362212"/>
    <w:rsid w:val="00364CEB"/>
    <w:rsid w:val="00381D34"/>
    <w:rsid w:val="003919EE"/>
    <w:rsid w:val="00394A1C"/>
    <w:rsid w:val="003A1F39"/>
    <w:rsid w:val="003B7D68"/>
    <w:rsid w:val="003D328B"/>
    <w:rsid w:val="003E05C9"/>
    <w:rsid w:val="003F1B6C"/>
    <w:rsid w:val="00440BFD"/>
    <w:rsid w:val="00443CBF"/>
    <w:rsid w:val="004478A4"/>
    <w:rsid w:val="00452D33"/>
    <w:rsid w:val="0046288B"/>
    <w:rsid w:val="00474952"/>
    <w:rsid w:val="004776B0"/>
    <w:rsid w:val="00481581"/>
    <w:rsid w:val="004844A0"/>
    <w:rsid w:val="00484957"/>
    <w:rsid w:val="004B01E1"/>
    <w:rsid w:val="004B0863"/>
    <w:rsid w:val="004B718F"/>
    <w:rsid w:val="004C03E1"/>
    <w:rsid w:val="004F0EAF"/>
    <w:rsid w:val="004F24CD"/>
    <w:rsid w:val="004F3DB3"/>
    <w:rsid w:val="00500D9F"/>
    <w:rsid w:val="0050610C"/>
    <w:rsid w:val="0052201F"/>
    <w:rsid w:val="0052339C"/>
    <w:rsid w:val="005301C2"/>
    <w:rsid w:val="00531FEA"/>
    <w:rsid w:val="00546A6F"/>
    <w:rsid w:val="00553F11"/>
    <w:rsid w:val="005540D6"/>
    <w:rsid w:val="00554C33"/>
    <w:rsid w:val="005612E4"/>
    <w:rsid w:val="005652FB"/>
    <w:rsid w:val="005765BB"/>
    <w:rsid w:val="0058335C"/>
    <w:rsid w:val="005A1872"/>
    <w:rsid w:val="005A267B"/>
    <w:rsid w:val="005A26A0"/>
    <w:rsid w:val="005B0516"/>
    <w:rsid w:val="005C3195"/>
    <w:rsid w:val="005C75A9"/>
    <w:rsid w:val="005D1F93"/>
    <w:rsid w:val="00602E2A"/>
    <w:rsid w:val="00606E3D"/>
    <w:rsid w:val="00614168"/>
    <w:rsid w:val="00661C29"/>
    <w:rsid w:val="006628C7"/>
    <w:rsid w:val="0067292A"/>
    <w:rsid w:val="00680240"/>
    <w:rsid w:val="00681907"/>
    <w:rsid w:val="00684F5E"/>
    <w:rsid w:val="006853EF"/>
    <w:rsid w:val="006C1CD7"/>
    <w:rsid w:val="006C3F17"/>
    <w:rsid w:val="006C7243"/>
    <w:rsid w:val="006D3F93"/>
    <w:rsid w:val="006D5E9F"/>
    <w:rsid w:val="006D7F7C"/>
    <w:rsid w:val="006E5587"/>
    <w:rsid w:val="006F20FD"/>
    <w:rsid w:val="00717CE1"/>
    <w:rsid w:val="00727B13"/>
    <w:rsid w:val="007352AE"/>
    <w:rsid w:val="00753B8A"/>
    <w:rsid w:val="0076609B"/>
    <w:rsid w:val="007725D5"/>
    <w:rsid w:val="007B2350"/>
    <w:rsid w:val="007D0068"/>
    <w:rsid w:val="007E0EFF"/>
    <w:rsid w:val="007F3785"/>
    <w:rsid w:val="00810934"/>
    <w:rsid w:val="008359CF"/>
    <w:rsid w:val="00862CB7"/>
    <w:rsid w:val="00867592"/>
    <w:rsid w:val="008843E9"/>
    <w:rsid w:val="00884D6F"/>
    <w:rsid w:val="00895EF0"/>
    <w:rsid w:val="008963D9"/>
    <w:rsid w:val="008A4123"/>
    <w:rsid w:val="008B3926"/>
    <w:rsid w:val="008D6DD4"/>
    <w:rsid w:val="008E2FA7"/>
    <w:rsid w:val="00902EBC"/>
    <w:rsid w:val="00903A4B"/>
    <w:rsid w:val="009369EF"/>
    <w:rsid w:val="00951248"/>
    <w:rsid w:val="00960D08"/>
    <w:rsid w:val="009658A6"/>
    <w:rsid w:val="00971C0E"/>
    <w:rsid w:val="00972A44"/>
    <w:rsid w:val="0098131E"/>
    <w:rsid w:val="00986490"/>
    <w:rsid w:val="009F6D3A"/>
    <w:rsid w:val="00A110E1"/>
    <w:rsid w:val="00A1321E"/>
    <w:rsid w:val="00A33A8F"/>
    <w:rsid w:val="00A42734"/>
    <w:rsid w:val="00A50E3B"/>
    <w:rsid w:val="00A672DE"/>
    <w:rsid w:val="00A70E53"/>
    <w:rsid w:val="00A84D9C"/>
    <w:rsid w:val="00A850AA"/>
    <w:rsid w:val="00A9439E"/>
    <w:rsid w:val="00AA1452"/>
    <w:rsid w:val="00AC31A1"/>
    <w:rsid w:val="00AC78D2"/>
    <w:rsid w:val="00AD0E04"/>
    <w:rsid w:val="00AD2725"/>
    <w:rsid w:val="00AD2F37"/>
    <w:rsid w:val="00AF2D41"/>
    <w:rsid w:val="00B144DC"/>
    <w:rsid w:val="00B17271"/>
    <w:rsid w:val="00B3361E"/>
    <w:rsid w:val="00B37615"/>
    <w:rsid w:val="00B50714"/>
    <w:rsid w:val="00B76360"/>
    <w:rsid w:val="00B8066A"/>
    <w:rsid w:val="00B824AF"/>
    <w:rsid w:val="00B92B03"/>
    <w:rsid w:val="00BB43C0"/>
    <w:rsid w:val="00BC1190"/>
    <w:rsid w:val="00BC654A"/>
    <w:rsid w:val="00BD2F35"/>
    <w:rsid w:val="00BD6333"/>
    <w:rsid w:val="00BE621A"/>
    <w:rsid w:val="00BF1AB3"/>
    <w:rsid w:val="00C4477C"/>
    <w:rsid w:val="00C44CBB"/>
    <w:rsid w:val="00C53E91"/>
    <w:rsid w:val="00C76F9A"/>
    <w:rsid w:val="00C90ACB"/>
    <w:rsid w:val="00C91EFD"/>
    <w:rsid w:val="00CA70FD"/>
    <w:rsid w:val="00CB0920"/>
    <w:rsid w:val="00CB12E9"/>
    <w:rsid w:val="00CC5394"/>
    <w:rsid w:val="00CD427F"/>
    <w:rsid w:val="00CD52B9"/>
    <w:rsid w:val="00CE0C92"/>
    <w:rsid w:val="00CF5A43"/>
    <w:rsid w:val="00D04CAA"/>
    <w:rsid w:val="00D07E27"/>
    <w:rsid w:val="00D22461"/>
    <w:rsid w:val="00D32544"/>
    <w:rsid w:val="00D424E1"/>
    <w:rsid w:val="00D51B63"/>
    <w:rsid w:val="00D56772"/>
    <w:rsid w:val="00D62F65"/>
    <w:rsid w:val="00D647B6"/>
    <w:rsid w:val="00D85F58"/>
    <w:rsid w:val="00DB16A0"/>
    <w:rsid w:val="00DB7D7F"/>
    <w:rsid w:val="00DD4885"/>
    <w:rsid w:val="00DD696B"/>
    <w:rsid w:val="00DE4D49"/>
    <w:rsid w:val="00E01986"/>
    <w:rsid w:val="00E05D4A"/>
    <w:rsid w:val="00E21713"/>
    <w:rsid w:val="00E23920"/>
    <w:rsid w:val="00E249E9"/>
    <w:rsid w:val="00E37C93"/>
    <w:rsid w:val="00E441E4"/>
    <w:rsid w:val="00E54C43"/>
    <w:rsid w:val="00E66035"/>
    <w:rsid w:val="00E66323"/>
    <w:rsid w:val="00E720BB"/>
    <w:rsid w:val="00E7397E"/>
    <w:rsid w:val="00E749AB"/>
    <w:rsid w:val="00E806F8"/>
    <w:rsid w:val="00E909C8"/>
    <w:rsid w:val="00E9670D"/>
    <w:rsid w:val="00EA5984"/>
    <w:rsid w:val="00EB0341"/>
    <w:rsid w:val="00EC071C"/>
    <w:rsid w:val="00ED4D56"/>
    <w:rsid w:val="00ED6364"/>
    <w:rsid w:val="00EE3467"/>
    <w:rsid w:val="00EE4E2A"/>
    <w:rsid w:val="00EF6CC5"/>
    <w:rsid w:val="00F03CBD"/>
    <w:rsid w:val="00F24E53"/>
    <w:rsid w:val="00F24F20"/>
    <w:rsid w:val="00F62800"/>
    <w:rsid w:val="00F66F38"/>
    <w:rsid w:val="00F82528"/>
    <w:rsid w:val="00F96A97"/>
    <w:rsid w:val="00FA6167"/>
    <w:rsid w:val="00FB38CD"/>
    <w:rsid w:val="00FC7471"/>
    <w:rsid w:val="00FD18D6"/>
    <w:rsid w:val="00FE6804"/>
    <w:rsid w:val="00FE74FB"/>
    <w:rsid w:val="00FF7571"/>
    <w:rsid w:val="065760B4"/>
    <w:rsid w:val="207F7B06"/>
    <w:rsid w:val="24A776A1"/>
    <w:rsid w:val="30A90FF0"/>
    <w:rsid w:val="3CDF2599"/>
    <w:rsid w:val="49166DE6"/>
    <w:rsid w:val="57605062"/>
    <w:rsid w:val="5DA051FC"/>
    <w:rsid w:val="638B23A0"/>
    <w:rsid w:val="6C494FFC"/>
    <w:rsid w:val="6FA678A5"/>
    <w:rsid w:val="7C355186"/>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kern w:val="0"/>
      <w:sz w:val="24"/>
      <w:szCs w:val="24"/>
    </w:rPr>
  </w:style>
  <w:style w:type="character" w:styleId="7">
    <w:name w:val="Strong"/>
    <w:basedOn w:val="6"/>
    <w:qFormat/>
    <w:uiPriority w:val="99"/>
    <w:rPr>
      <w:rFonts w:cs="Times New Roman"/>
      <w:b/>
      <w:bCs/>
    </w:rPr>
  </w:style>
  <w:style w:type="table" w:styleId="9">
    <w:name w:val="Table Grid"/>
    <w:basedOn w:val="8"/>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6"/>
    <w:link w:val="4"/>
    <w:qFormat/>
    <w:locked/>
    <w:uiPriority w:val="99"/>
    <w:rPr>
      <w:rFonts w:ascii="Times New Roman" w:hAnsi="Times New Roman" w:cs="Times New Roman"/>
      <w:sz w:val="18"/>
      <w:szCs w:val="18"/>
    </w:rPr>
  </w:style>
  <w:style w:type="character" w:customStyle="1" w:styleId="11">
    <w:name w:val="页脚 Char"/>
    <w:basedOn w:val="6"/>
    <w:link w:val="3"/>
    <w:qFormat/>
    <w:locked/>
    <w:uiPriority w:val="99"/>
    <w:rPr>
      <w:rFonts w:ascii="Times New Roman" w:hAnsi="Times New Roman" w:cs="Times New Roman"/>
      <w:sz w:val="18"/>
      <w:szCs w:val="18"/>
    </w:rPr>
  </w:style>
  <w:style w:type="character" w:customStyle="1" w:styleId="12">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0712E-786A-4A30-B808-BF335DC0C3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644</Words>
  <Characters>3675</Characters>
  <Lines>30</Lines>
  <Paragraphs>8</Paragraphs>
  <TotalTime>0</TotalTime>
  <ScaleCrop>false</ScaleCrop>
  <LinksUpToDate>false</LinksUpToDate>
  <CharactersWithSpaces>4311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2017-11-17T10:47:00Z</dcterms:created>
  <dc:creator>曹文芳</dc:creator>
  <cp:lastModifiedBy>曹旭红</cp:lastModifiedBy>
  <cp:lastPrinted>2019-05-06T05:26:00Z</cp:lastPrinted>
  <dcterms:modified xsi:type="dcterms:W3CDTF">2019-11-04T03:43:33Z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