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9"/>
          <w:rFonts w:ascii="黑体" w:hAnsi="黑体" w:eastAsia="黑体" w:cs="宋体"/>
          <w:b w:val="0"/>
          <w:kern w:val="0"/>
          <w:sz w:val="28"/>
          <w:szCs w:val="28"/>
        </w:rPr>
      </w:pPr>
      <w:r>
        <w:rPr>
          <w:rStyle w:val="9"/>
          <w:rFonts w:hint="eastAsia" w:ascii="黑体" w:hAnsi="黑体" w:eastAsia="黑体" w:cs="宋体"/>
          <w:b w:val="0"/>
          <w:kern w:val="0"/>
          <w:sz w:val="28"/>
          <w:szCs w:val="28"/>
        </w:rPr>
        <w:t>新疆银行“金胡杨·</w:t>
      </w:r>
      <w:r>
        <w:rPr>
          <w:rStyle w:val="9"/>
          <w:rFonts w:hint="eastAsia" w:ascii="黑体" w:hAnsi="黑体" w:eastAsia="黑体" w:cs="宋体"/>
          <w:b w:val="0"/>
          <w:kern w:val="0"/>
          <w:sz w:val="28"/>
          <w:szCs w:val="28"/>
          <w:lang w:eastAsia="zh-CN"/>
        </w:rPr>
        <w:t>定开新</w:t>
      </w:r>
      <w:r>
        <w:rPr>
          <w:rStyle w:val="9"/>
          <w:rFonts w:hint="eastAsia" w:ascii="黑体" w:hAnsi="黑体" w:eastAsia="黑体" w:cs="宋体"/>
          <w:b w:val="0"/>
          <w:kern w:val="0"/>
          <w:sz w:val="28"/>
          <w:szCs w:val="28"/>
        </w:rPr>
        <w:t>”</w:t>
      </w:r>
      <w:r>
        <w:rPr>
          <w:rStyle w:val="9"/>
          <w:rFonts w:hint="eastAsia" w:ascii="黑体" w:hAnsi="黑体" w:eastAsia="黑体" w:cs="宋体"/>
          <w:b w:val="0"/>
          <w:kern w:val="0"/>
          <w:sz w:val="28"/>
          <w:szCs w:val="28"/>
          <w:lang w:eastAsia="zh-CN"/>
        </w:rPr>
        <w:t>（</w:t>
      </w:r>
      <w:r>
        <w:rPr>
          <w:rStyle w:val="9"/>
          <w:rFonts w:hint="eastAsia" w:ascii="黑体" w:hAnsi="黑体" w:eastAsia="黑体" w:cs="宋体"/>
          <w:b w:val="0"/>
          <w:kern w:val="0"/>
          <w:sz w:val="28"/>
          <w:szCs w:val="28"/>
          <w:lang w:val="en-US" w:eastAsia="zh-CN"/>
        </w:rPr>
        <w:t>35天）周期</w:t>
      </w:r>
      <w:r>
        <w:rPr>
          <w:rStyle w:val="9"/>
          <w:rFonts w:hint="eastAsia" w:ascii="黑体" w:hAnsi="黑体" w:eastAsia="黑体" w:cs="宋体"/>
          <w:b w:val="0"/>
          <w:kern w:val="0"/>
          <w:sz w:val="28"/>
          <w:szCs w:val="28"/>
        </w:rPr>
        <w:t>开放</w:t>
      </w:r>
      <w:r>
        <w:rPr>
          <w:rStyle w:val="9"/>
          <w:rFonts w:hint="eastAsia" w:ascii="黑体" w:hAnsi="黑体" w:eastAsia="黑体" w:cs="宋体"/>
          <w:b w:val="0"/>
          <w:kern w:val="0"/>
          <w:sz w:val="28"/>
          <w:szCs w:val="28"/>
          <w:lang w:eastAsia="zh-CN"/>
        </w:rPr>
        <w:t>式</w:t>
      </w:r>
      <w:r>
        <w:rPr>
          <w:rStyle w:val="9"/>
          <w:rFonts w:hint="eastAsia" w:ascii="黑体" w:hAnsi="黑体" w:eastAsia="黑体" w:cs="宋体"/>
          <w:b w:val="0"/>
          <w:kern w:val="0"/>
          <w:sz w:val="28"/>
          <w:szCs w:val="28"/>
        </w:rPr>
        <w:t>净值型人民币理财产品说明书</w:t>
      </w:r>
    </w:p>
    <w:p>
      <w:pPr>
        <w:widowControl/>
        <w:spacing w:line="400" w:lineRule="exact"/>
        <w:jc w:val="center"/>
        <w:rPr>
          <w:rStyle w:val="9"/>
          <w:rFonts w:ascii="宋体" w:hAnsi="宋体" w:cs="宋体"/>
          <w:kern w:val="0"/>
          <w:sz w:val="18"/>
          <w:szCs w:val="18"/>
        </w:rPr>
      </w:pPr>
      <w:r>
        <w:rPr>
          <w:rStyle w:val="9"/>
          <w:rFonts w:hint="eastAsia" w:ascii="宋体" w:hAnsi="宋体" w:cs="宋体"/>
          <w:kern w:val="0"/>
          <w:sz w:val="18"/>
          <w:szCs w:val="18"/>
        </w:rPr>
        <w:t>理财非存款、产品有风险、投资须谨慎</w:t>
      </w:r>
    </w:p>
    <w:p>
      <w:pPr>
        <w:widowControl/>
        <w:spacing w:line="400" w:lineRule="exact"/>
        <w:rPr>
          <w:rStyle w:val="9"/>
          <w:rFonts w:ascii="华文仿宋" w:hAnsi="华文仿宋" w:eastAsia="华文仿宋" w:cs="华文仿宋"/>
          <w:kern w:val="0"/>
          <w:sz w:val="24"/>
          <w:szCs w:val="24"/>
        </w:rPr>
      </w:pPr>
      <w:r>
        <w:rPr>
          <w:rStyle w:val="9"/>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五、在购买理财产品后，投资者应随时关注该理财产品的信息披露情况，及时获取相关信息。可依据本产品登记编码在“中国理财网(www.chinaealth.com.cn)”查询产品信息。</w:t>
      </w:r>
    </w:p>
    <w:p>
      <w:pPr>
        <w:widowControl/>
        <w:spacing w:line="400" w:lineRule="exact"/>
        <w:rPr>
          <w:rStyle w:val="9"/>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9"/>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9"/>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9"/>
                <w:rFonts w:hint="eastAsia" w:ascii="华文仿宋" w:hAnsi="华文仿宋" w:eastAsia="华文仿宋" w:cs="华文仿宋"/>
                <w:b w:val="0"/>
                <w:bCs w:val="0"/>
                <w:kern w:val="0"/>
                <w:sz w:val="24"/>
                <w:szCs w:val="24"/>
              </w:rPr>
              <w:t>“金胡杨·</w:t>
            </w:r>
            <w:r>
              <w:rPr>
                <w:rStyle w:val="9"/>
                <w:rFonts w:hint="eastAsia" w:ascii="华文仿宋" w:hAnsi="华文仿宋" w:eastAsia="华文仿宋" w:cs="华文仿宋"/>
                <w:b w:val="0"/>
                <w:bCs w:val="0"/>
                <w:kern w:val="0"/>
                <w:sz w:val="24"/>
                <w:szCs w:val="24"/>
                <w:lang w:eastAsia="zh-CN"/>
              </w:rPr>
              <w:t>定开新</w:t>
            </w:r>
            <w:r>
              <w:rPr>
                <w:rStyle w:val="9"/>
                <w:rFonts w:hint="eastAsia" w:ascii="华文仿宋" w:hAnsi="华文仿宋" w:eastAsia="华文仿宋" w:cs="华文仿宋"/>
                <w:b w:val="0"/>
                <w:bCs w:val="0"/>
                <w:kern w:val="0"/>
                <w:sz w:val="24"/>
                <w:szCs w:val="24"/>
              </w:rPr>
              <w:t>”</w:t>
            </w:r>
            <w:r>
              <w:rPr>
                <w:rStyle w:val="9"/>
                <w:rFonts w:hint="eastAsia" w:ascii="华文仿宋" w:hAnsi="华文仿宋" w:eastAsia="华文仿宋" w:cs="华文仿宋"/>
                <w:b w:val="0"/>
                <w:bCs w:val="0"/>
                <w:kern w:val="0"/>
                <w:sz w:val="24"/>
                <w:szCs w:val="24"/>
                <w:lang w:eastAsia="zh-CN"/>
              </w:rPr>
              <w:t>（</w:t>
            </w:r>
            <w:r>
              <w:rPr>
                <w:rStyle w:val="9"/>
                <w:rFonts w:hint="eastAsia" w:ascii="华文仿宋" w:hAnsi="华文仿宋" w:eastAsia="华文仿宋" w:cs="华文仿宋"/>
                <w:b w:val="0"/>
                <w:bCs w:val="0"/>
                <w:kern w:val="0"/>
                <w:sz w:val="24"/>
                <w:szCs w:val="24"/>
                <w:lang w:val="en-US" w:eastAsia="zh-CN"/>
              </w:rPr>
              <w:t>35天）周期</w:t>
            </w:r>
            <w:r>
              <w:rPr>
                <w:rStyle w:val="9"/>
                <w:rFonts w:hint="eastAsia" w:ascii="华文仿宋" w:hAnsi="华文仿宋" w:eastAsia="华文仿宋" w:cs="华文仿宋"/>
                <w:b w:val="0"/>
                <w:bCs w:val="0"/>
                <w:kern w:val="0"/>
                <w:sz w:val="24"/>
                <w:szCs w:val="24"/>
              </w:rPr>
              <w:t>开放</w:t>
            </w:r>
            <w:r>
              <w:rPr>
                <w:rStyle w:val="9"/>
                <w:rFonts w:hint="eastAsia" w:ascii="华文仿宋" w:hAnsi="华文仿宋" w:eastAsia="华文仿宋" w:cs="华文仿宋"/>
                <w:b w:val="0"/>
                <w:bCs w:val="0"/>
                <w:kern w:val="0"/>
                <w:sz w:val="24"/>
                <w:szCs w:val="24"/>
                <w:lang w:eastAsia="zh-CN"/>
              </w:rPr>
              <w:t>式</w:t>
            </w:r>
            <w:r>
              <w:rPr>
                <w:rStyle w:val="9"/>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Style w:val="9"/>
                <w:rFonts w:hint="eastAsia" w:ascii="华文仿宋" w:hAnsi="华文仿宋" w:eastAsia="华文仿宋" w:cs="华文仿宋"/>
                <w:b w:val="0"/>
                <w:bCs w:val="0"/>
                <w:kern w:val="0"/>
                <w:sz w:val="24"/>
                <w:szCs w:val="24"/>
              </w:rPr>
              <w:t xml:space="preserve">C1364319000046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9"/>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12月04</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12</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09</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12月10</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w:t>
            </w:r>
            <w:r>
              <w:rPr>
                <w:rFonts w:hint="eastAsia" w:ascii="华文仿宋" w:hAnsi="华文仿宋" w:eastAsia="华文仿宋" w:cs="华文仿宋"/>
                <w:color w:val="auto"/>
                <w:kern w:val="0"/>
                <w:sz w:val="24"/>
                <w:szCs w:val="24"/>
                <w:highlight w:val="none"/>
                <w:lang w:val="en-US" w:eastAsia="zh-CN"/>
              </w:rPr>
              <w:t>35天开放申购赎回，</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14</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4.0%</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4.0</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4.0</w:t>
            </w:r>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本理财产品不提供对账单。投资人同意通过新疆银行官方网（www.xjbank.com）、新疆银行官方微信或相关营业网点及时了解相关信息公告。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本理财产品认购后不得撤单。</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lang w:eastAsia="zh-CN"/>
              </w:rPr>
              <w:t>宁波银行</w:t>
            </w:r>
          </w:p>
        </w:tc>
      </w:tr>
    </w:tbl>
    <w:p>
      <w:pPr>
        <w:widowControl/>
        <w:spacing w:line="300" w:lineRule="exact"/>
        <w:ind w:firstLine="482" w:firstLineChars="200"/>
        <w:jc w:val="left"/>
        <w:rPr>
          <w:rFonts w:ascii="华文仿宋" w:hAnsi="华文仿宋" w:eastAsia="华文仿宋" w:cs="华文仿宋"/>
          <w:sz w:val="24"/>
          <w:szCs w:val="24"/>
        </w:rPr>
      </w:pPr>
      <w:r>
        <w:rPr>
          <w:rStyle w:val="9"/>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标准化固定收益类资产：包括但不限于国债、中央银行票据、同业存单、金融债、企业债、公司债、中期票据、短期融资券、超短期融资券、定向债务融资工具（PPN）、资产支持证券、资产支持票据(ABN）及底层资产为上述资产的各类资管计划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9"/>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9"/>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9"/>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9"/>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4211393"/>
    <w:rsid w:val="04AF546C"/>
    <w:rsid w:val="06AA54B4"/>
    <w:rsid w:val="0A2C2EA4"/>
    <w:rsid w:val="0A8D7997"/>
    <w:rsid w:val="0ABE576C"/>
    <w:rsid w:val="0BEF09B0"/>
    <w:rsid w:val="0C28306D"/>
    <w:rsid w:val="0C8E4716"/>
    <w:rsid w:val="0DCC06A1"/>
    <w:rsid w:val="0E8F6CE4"/>
    <w:rsid w:val="0F344F29"/>
    <w:rsid w:val="0F455427"/>
    <w:rsid w:val="0F833DB6"/>
    <w:rsid w:val="0F972804"/>
    <w:rsid w:val="1127622D"/>
    <w:rsid w:val="12295BA1"/>
    <w:rsid w:val="150B39CF"/>
    <w:rsid w:val="158B366C"/>
    <w:rsid w:val="15CA5CC3"/>
    <w:rsid w:val="166528F4"/>
    <w:rsid w:val="16710160"/>
    <w:rsid w:val="182A632F"/>
    <w:rsid w:val="18307F10"/>
    <w:rsid w:val="19617D23"/>
    <w:rsid w:val="199F4933"/>
    <w:rsid w:val="1CFB3A9C"/>
    <w:rsid w:val="213C2DEE"/>
    <w:rsid w:val="219B0D2E"/>
    <w:rsid w:val="22BC6D50"/>
    <w:rsid w:val="23813524"/>
    <w:rsid w:val="24730B3D"/>
    <w:rsid w:val="26524696"/>
    <w:rsid w:val="282E437B"/>
    <w:rsid w:val="292A75D2"/>
    <w:rsid w:val="29C0055D"/>
    <w:rsid w:val="29FC2C3B"/>
    <w:rsid w:val="2B1B7F2B"/>
    <w:rsid w:val="2C35520A"/>
    <w:rsid w:val="2D297009"/>
    <w:rsid w:val="2DF7051B"/>
    <w:rsid w:val="2EC47150"/>
    <w:rsid w:val="2EC64065"/>
    <w:rsid w:val="2EF04DAC"/>
    <w:rsid w:val="2F41330F"/>
    <w:rsid w:val="2FB06FC7"/>
    <w:rsid w:val="30F916A5"/>
    <w:rsid w:val="315437AD"/>
    <w:rsid w:val="316168F6"/>
    <w:rsid w:val="349E6C21"/>
    <w:rsid w:val="36872AFD"/>
    <w:rsid w:val="36F464BB"/>
    <w:rsid w:val="37014554"/>
    <w:rsid w:val="370234D1"/>
    <w:rsid w:val="382F778D"/>
    <w:rsid w:val="39456D2E"/>
    <w:rsid w:val="3A332045"/>
    <w:rsid w:val="3A7D3C24"/>
    <w:rsid w:val="3B6E4155"/>
    <w:rsid w:val="3B783CF6"/>
    <w:rsid w:val="3BC03386"/>
    <w:rsid w:val="3C5031D7"/>
    <w:rsid w:val="3C6E35BA"/>
    <w:rsid w:val="3D4C494C"/>
    <w:rsid w:val="3DFC5C2C"/>
    <w:rsid w:val="3E8A3700"/>
    <w:rsid w:val="3F0A535E"/>
    <w:rsid w:val="3F2040FB"/>
    <w:rsid w:val="3F69702C"/>
    <w:rsid w:val="3F8845E4"/>
    <w:rsid w:val="409C44FE"/>
    <w:rsid w:val="41574CBC"/>
    <w:rsid w:val="41E66867"/>
    <w:rsid w:val="43121CF7"/>
    <w:rsid w:val="43B6405B"/>
    <w:rsid w:val="47837790"/>
    <w:rsid w:val="48122FCB"/>
    <w:rsid w:val="48C41F58"/>
    <w:rsid w:val="4AA84823"/>
    <w:rsid w:val="4AF9434C"/>
    <w:rsid w:val="4BA12067"/>
    <w:rsid w:val="4BBF77A0"/>
    <w:rsid w:val="4BE97067"/>
    <w:rsid w:val="4D5765AE"/>
    <w:rsid w:val="4E9D5410"/>
    <w:rsid w:val="50063C66"/>
    <w:rsid w:val="529E0394"/>
    <w:rsid w:val="52B43E3A"/>
    <w:rsid w:val="550550A7"/>
    <w:rsid w:val="557C3BE9"/>
    <w:rsid w:val="559B60F2"/>
    <w:rsid w:val="57697D41"/>
    <w:rsid w:val="592579CD"/>
    <w:rsid w:val="5A3A65B9"/>
    <w:rsid w:val="5BA5764F"/>
    <w:rsid w:val="5BA85F91"/>
    <w:rsid w:val="5F06242E"/>
    <w:rsid w:val="5F146C8F"/>
    <w:rsid w:val="5FB76071"/>
    <w:rsid w:val="6099040F"/>
    <w:rsid w:val="60D12938"/>
    <w:rsid w:val="626A7E64"/>
    <w:rsid w:val="63B2608C"/>
    <w:rsid w:val="64A23D93"/>
    <w:rsid w:val="650134AF"/>
    <w:rsid w:val="66437D7B"/>
    <w:rsid w:val="66915AAB"/>
    <w:rsid w:val="68107BBA"/>
    <w:rsid w:val="68B0605D"/>
    <w:rsid w:val="6D60040F"/>
    <w:rsid w:val="6D9846CE"/>
    <w:rsid w:val="6EF3563C"/>
    <w:rsid w:val="703C2EBA"/>
    <w:rsid w:val="71961F41"/>
    <w:rsid w:val="71BF1CB6"/>
    <w:rsid w:val="71D81222"/>
    <w:rsid w:val="75B25B27"/>
    <w:rsid w:val="77692B6F"/>
    <w:rsid w:val="77CF62C4"/>
    <w:rsid w:val="7813645C"/>
    <w:rsid w:val="7BDF47E3"/>
    <w:rsid w:val="7CAB3AE1"/>
    <w:rsid w:val="7D0C1DD9"/>
    <w:rsid w:val="7E5F744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kern w:val="0"/>
      <w:sz w:val="24"/>
      <w:szCs w:val="24"/>
    </w:rPr>
  </w:style>
  <w:style w:type="character" w:styleId="9">
    <w:name w:val="Strong"/>
    <w:basedOn w:val="8"/>
    <w:qFormat/>
    <w:uiPriority w:val="99"/>
    <w:rPr>
      <w:rFonts w:cs="Times New Roman"/>
      <w:b/>
      <w:bCs/>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semiHidden/>
    <w:qFormat/>
    <w:uiPriority w:val="99"/>
    <w:rPr>
      <w:rFonts w:ascii="Times New Roman" w:hAnsi="Times New Roman"/>
      <w:sz w:val="18"/>
      <w:szCs w:val="18"/>
    </w:rPr>
  </w:style>
  <w:style w:type="character" w:customStyle="1" w:styleId="15">
    <w:name w:val="页脚 Char"/>
    <w:basedOn w:val="8"/>
    <w:link w:val="5"/>
    <w:qFormat/>
    <w:uiPriority w:val="99"/>
    <w:rPr>
      <w:rFonts w:ascii="Times New Roman" w:hAnsi="Times New Roman"/>
      <w:sz w:val="18"/>
      <w:szCs w:val="18"/>
    </w:rPr>
  </w:style>
  <w:style w:type="character" w:customStyle="1" w:styleId="16">
    <w:name w:val="fontstyle01"/>
    <w:basedOn w:val="8"/>
    <w:qFormat/>
    <w:uiPriority w:val="0"/>
    <w:rPr>
      <w:rFonts w:hint="eastAsia" w:ascii="宋体" w:hAnsi="宋体" w:eastAsia="宋体" w:cs="宋体"/>
      <w:color w:val="000000"/>
      <w:sz w:val="22"/>
      <w:szCs w:val="22"/>
    </w:rPr>
  </w:style>
  <w:style w:type="character" w:customStyle="1" w:styleId="17">
    <w:name w:val="fontstyle11"/>
    <w:basedOn w:val="8"/>
    <w:qFormat/>
    <w:uiPriority w:val="0"/>
    <w:rPr>
      <w:rFonts w:ascii="仿宋" w:hAnsi="仿宋" w:eastAsia="仿宋" w:cs="仿宋"/>
      <w:color w:val="000000"/>
      <w:sz w:val="22"/>
      <w:szCs w:val="22"/>
    </w:rPr>
  </w:style>
  <w:style w:type="character" w:customStyle="1" w:styleId="18">
    <w:name w:val="批注框文本 Char"/>
    <w:basedOn w:val="8"/>
    <w:link w:val="4"/>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8"/>
    <w:link w:val="3"/>
    <w:qFormat/>
    <w:uiPriority w:val="99"/>
    <w:rPr>
      <w:kern w:val="2"/>
      <w:sz w:val="21"/>
      <w:szCs w:val="22"/>
    </w:rPr>
  </w:style>
  <w:style w:type="character" w:customStyle="1" w:styleId="21">
    <w:name w:val="批注主题 Char"/>
    <w:basedOn w:val="20"/>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972</Words>
  <Characters>5546</Characters>
  <Lines>46</Lines>
  <Paragraphs>13</Paragraphs>
  <ScaleCrop>false</ScaleCrop>
  <LinksUpToDate>false</LinksUpToDate>
  <CharactersWithSpaces>6505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2019-12-03T05:22:28Z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